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D0" w:rsidRPr="00EF31D0" w:rsidRDefault="00EF31D0" w:rsidP="007657AC">
      <w:pPr>
        <w:jc w:val="both"/>
        <w:rPr>
          <w:b/>
        </w:rPr>
      </w:pPr>
      <w:r w:rsidRPr="00EF31D0">
        <w:rPr>
          <w:b/>
        </w:rPr>
        <w:t>Transthyretin – ett tve</w:t>
      </w:r>
      <w:r>
        <w:rPr>
          <w:b/>
        </w:rPr>
        <w:t>eggat</w:t>
      </w:r>
      <w:r w:rsidRPr="00EF31D0">
        <w:rPr>
          <w:b/>
        </w:rPr>
        <w:t xml:space="preserve"> svärd med både </w:t>
      </w:r>
      <w:r w:rsidR="008635E3">
        <w:rPr>
          <w:b/>
        </w:rPr>
        <w:t xml:space="preserve">fysiologiska </w:t>
      </w:r>
      <w:bookmarkStart w:id="0" w:name="_GoBack"/>
      <w:bookmarkEnd w:id="0"/>
      <w:r w:rsidRPr="00EF31D0">
        <w:rPr>
          <w:b/>
        </w:rPr>
        <w:t xml:space="preserve">och patologiska egenskaper. </w:t>
      </w:r>
    </w:p>
    <w:p w:rsidR="00EF31D0" w:rsidRDefault="00EF31D0" w:rsidP="007657AC">
      <w:pPr>
        <w:jc w:val="both"/>
      </w:pPr>
    </w:p>
    <w:p w:rsidR="00EF31D0" w:rsidRDefault="00EF31D0" w:rsidP="007657AC">
      <w:pPr>
        <w:jc w:val="both"/>
      </w:pPr>
    </w:p>
    <w:p w:rsidR="00EF31D0" w:rsidRPr="00EF31D0" w:rsidRDefault="00EF31D0" w:rsidP="007657AC">
      <w:pPr>
        <w:jc w:val="both"/>
      </w:pPr>
      <w:r w:rsidRPr="00EF31D0">
        <w:t>Proteinet transthyretin (TTR) hör till gruppen av proteiner som även har en förmåga att anta en patologisk form kallad amyloid. Dessa protei</w:t>
      </w:r>
      <w:r>
        <w:t>ner övergår i denna process</w:t>
      </w:r>
      <w:r w:rsidRPr="00EF31D0">
        <w:t xml:space="preserve"> från sin lösliga form till att istället anta en fiberliknande makrostruktur. Vad gäller TTR så ger detta </w:t>
      </w:r>
      <w:r>
        <w:t xml:space="preserve">bland annat </w:t>
      </w:r>
      <w:r w:rsidRPr="00EF31D0">
        <w:t>upphov till sjukdomen familjär amyloidos med polyneuropati</w:t>
      </w:r>
      <w:r>
        <w:t xml:space="preserve">. I gruppen av amyloida proteiner hittar vi dock kopplingar till </w:t>
      </w:r>
      <w:r w:rsidRPr="00EF31D0">
        <w:t xml:space="preserve">ca 30 övriga patologier </w:t>
      </w:r>
      <w:r>
        <w:t xml:space="preserve">i människa </w:t>
      </w:r>
      <w:r w:rsidRPr="00EF31D0">
        <w:t xml:space="preserve">inkl. Alzheimer’s sjukdom samt diabetes typ II. </w:t>
      </w:r>
    </w:p>
    <w:p w:rsidR="00EF31D0" w:rsidRDefault="00EF31D0" w:rsidP="007657AC">
      <w:pPr>
        <w:jc w:val="both"/>
      </w:pPr>
      <w:r w:rsidRPr="00EF31D0">
        <w:t>Amyloida strukturer är förhållandevis enkla i sin sammansättning och är en struktur som många olika proteiner kan anta</w:t>
      </w:r>
      <w:r>
        <w:t xml:space="preserve"> bara de störs ur sitt normala jämviktsläge</w:t>
      </w:r>
      <w:r w:rsidRPr="00EF31D0">
        <w:t>. Det kan handla om en mutation likt den man finner i TTR i norra Sverige där aminosyran valine bytts ut mot aminosyran methionin. Det kan även handla om att proteinet utsätts för en denaturerande miljö</w:t>
      </w:r>
      <w:r>
        <w:t xml:space="preserve">. Här tror man att det något lägre pH värde man finner inne i cell kan utgöra en sådan faktor. </w:t>
      </w:r>
      <w:r w:rsidRPr="00EF31D0">
        <w:t xml:space="preserve"> </w:t>
      </w:r>
      <w:r>
        <w:t>A</w:t>
      </w:r>
      <w:r w:rsidRPr="00EF31D0">
        <w:t xml:space="preserve">myloida </w:t>
      </w:r>
      <w:r>
        <w:t xml:space="preserve">strukturer i kroppen </w:t>
      </w:r>
      <w:r w:rsidRPr="00EF31D0">
        <w:t xml:space="preserve">har </w:t>
      </w:r>
      <w:r>
        <w:t xml:space="preserve">dock </w:t>
      </w:r>
      <w:r w:rsidRPr="00EF31D0">
        <w:t>en vävnadsskadande effekt och för att de</w:t>
      </w:r>
      <w:r w:rsidR="006322CA">
        <w:t xml:space="preserve">ssa </w:t>
      </w:r>
      <w:r w:rsidRPr="00EF31D0">
        <w:t>inte</w:t>
      </w:r>
      <w:r w:rsidR="006322CA">
        <w:t xml:space="preserve"> ska bildas</w:t>
      </w:r>
      <w:r w:rsidRPr="00EF31D0">
        <w:t xml:space="preserve"> så finns ett antal </w:t>
      </w:r>
      <w:r>
        <w:t xml:space="preserve">inhiberande </w:t>
      </w:r>
      <w:r w:rsidRPr="00EF31D0">
        <w:t xml:space="preserve">mekanismer. Här känner man till en handfull proteiner med förmågan </w:t>
      </w:r>
      <w:r>
        <w:t xml:space="preserve">att störa </w:t>
      </w:r>
      <w:r w:rsidRPr="00EF31D0">
        <w:t>amyloidbildning. Intressant nog så är TTR ett av dessa proteiner. Det hela kan tyckas motsägelsefullt och varför skulle ett protein med egna amyloidbildande egens</w:t>
      </w:r>
      <w:r>
        <w:t>kaper på samma gång vara kopplat</w:t>
      </w:r>
      <w:r w:rsidRPr="00EF31D0">
        <w:t xml:space="preserve"> till att förhindra uppkomst av andra amyloider? Förklaringen är inte helt utrönt men vid en närmare granskning </w:t>
      </w:r>
      <w:r>
        <w:t>heller inte orimlig</w:t>
      </w:r>
      <w:r w:rsidRPr="00EF31D0">
        <w:t xml:space="preserve"> då amyloida strukturer på många sätt liknar varandra och där samma egenskaper som får amyloid att bildas även </w:t>
      </w:r>
      <w:r>
        <w:t xml:space="preserve">verkar </w:t>
      </w:r>
      <w:r w:rsidRPr="00EF31D0">
        <w:t>behöv</w:t>
      </w:r>
      <w:r>
        <w:t>a</w:t>
      </w:r>
      <w:r w:rsidRPr="00EF31D0">
        <w:t>s för att störa denna process. TTR var tillsammans med proteinet apoplipoprotein E de första proteinerna som upptäcktes ha en förmåga a</w:t>
      </w:r>
      <w:r>
        <w:t>tt störa amyloidbildning av Aβ (</w:t>
      </w:r>
      <w:r w:rsidRPr="00EF31D0">
        <w:t>associerad till Alzheimer’s sjukdom</w:t>
      </w:r>
      <w:r>
        <w:t>)</w:t>
      </w:r>
      <w:r w:rsidRPr="00EF31D0">
        <w:t xml:space="preserve">. </w:t>
      </w:r>
      <w:r>
        <w:t xml:space="preserve">Här har TTR en starkt positiv effekt och bromsar utveckling av sjukdomen. Vi och andra studerar denna effekt och har i de här sammanhangen utrönt stora delar av dessa molekylära mekanismer. </w:t>
      </w:r>
      <w:r w:rsidRPr="00EF31D0">
        <w:t xml:space="preserve">TTR har förutom denna förmåga alldeles nyligen </w:t>
      </w:r>
      <w:r>
        <w:t xml:space="preserve">även </w:t>
      </w:r>
      <w:r w:rsidRPr="00EF31D0">
        <w:t>visat sig kunna störa amyloidbildning av islet-amyloid-polypeptide (IAPP)</w:t>
      </w:r>
      <w:r w:rsidR="006322CA">
        <w:t>. Intressant nog uttrycks TTR tillsammans med IAPP</w:t>
      </w:r>
      <w:r w:rsidRPr="00EF31D0">
        <w:t>.</w:t>
      </w:r>
      <w:r>
        <w:t xml:space="preserve"> </w:t>
      </w:r>
      <w:r w:rsidRPr="00EF31D0">
        <w:t xml:space="preserve">Fältet </w:t>
      </w:r>
      <w:r w:rsidR="006322CA">
        <w:t xml:space="preserve">runt TTR och IAPP </w:t>
      </w:r>
      <w:r w:rsidRPr="00EF31D0">
        <w:t>är i det närmaste outforsk</w:t>
      </w:r>
      <w:r w:rsidR="006322CA">
        <w:t xml:space="preserve">at och </w:t>
      </w:r>
      <w:r w:rsidRPr="00EF31D0">
        <w:t>frågan om TTR har en roll att spela vi</w:t>
      </w:r>
      <w:r w:rsidR="006322CA">
        <w:t>d</w:t>
      </w:r>
      <w:r w:rsidRPr="00EF31D0">
        <w:t xml:space="preserve"> förhindrandet av diabetes typ II är uppenbar. </w:t>
      </w:r>
    </w:p>
    <w:p w:rsidR="00EF31D0" w:rsidRPr="00EF31D0" w:rsidRDefault="006322CA" w:rsidP="007657AC">
      <w:pPr>
        <w:jc w:val="both"/>
      </w:pPr>
      <w:r>
        <w:t>Här uppstår dock en rad andra frågor så som; k</w:t>
      </w:r>
      <w:r w:rsidR="00EF31D0" w:rsidRPr="00EF31D0">
        <w:t>an paralleller dras till dess effekt på Aβ och Alzheimer’s sjukdom och kan mekanismen bakom dess inhiberande effekt korreleras till dess egen bildning av amyloid?</w:t>
      </w:r>
      <w:r w:rsidR="00EF31D0">
        <w:t xml:space="preserve"> Preliminära data pekar på att detta hänger ihop. En kanske ännu intressantare fråga är dock ifall vi kan påverka dessa reaktioner? </w:t>
      </w:r>
      <w:r w:rsidR="00EF31D0" w:rsidRPr="00EF31D0">
        <w:t xml:space="preserve">Vi har karakteriserat </w:t>
      </w:r>
      <w:r w:rsidR="00EF31D0">
        <w:t xml:space="preserve">interaktion mellan TTR och Aβ samt TTR och IAPP </w:t>
      </w:r>
      <w:r w:rsidR="00EF31D0" w:rsidRPr="00EF31D0">
        <w:t xml:space="preserve">och </w:t>
      </w:r>
      <w:r w:rsidR="00EF31D0">
        <w:t xml:space="preserve">har </w:t>
      </w:r>
      <w:r w:rsidR="00EF31D0" w:rsidRPr="00EF31D0">
        <w:t xml:space="preserve">här även undersökt om de möjligheter vi har att modullera TTR terapeutisk även har en </w:t>
      </w:r>
      <w:r w:rsidR="00EF31D0">
        <w:t xml:space="preserve">effekt? </w:t>
      </w:r>
      <w:r w:rsidR="00EF31D0" w:rsidRPr="00EF31D0">
        <w:t xml:space="preserve">Resultaten pekar på att transthyretins inneboende instabilitet är kopplad till dess amyloidinhiberande förmåga och att proteinet därför inte kan vara för stabilt då det isåfall tappar även sin amyloidinhiberande förmåga. </w:t>
      </w:r>
    </w:p>
    <w:p w:rsidR="00EF31D0" w:rsidRDefault="00EF31D0" w:rsidP="007657AC">
      <w:pPr>
        <w:jc w:val="both"/>
      </w:pPr>
      <w:r w:rsidRPr="00EF31D0">
        <w:t>Vi kan redan</w:t>
      </w:r>
      <w:r>
        <w:t xml:space="preserve"> idag </w:t>
      </w:r>
      <w:r w:rsidRPr="00EF31D0">
        <w:t>påvisa hur en terapeutisk modullering av TTR och dess stabilitet på ett kraftfullt sätt kan påverka dess amyloidinhiberande egenskaper. Problemet är multifaktoriellt och man måste beakta de betingelser vi har i kroppen</w:t>
      </w:r>
      <w:r>
        <w:t>. Vi har i vår approach fokuserat specifikt på d</w:t>
      </w:r>
      <w:r w:rsidRPr="00EF31D0">
        <w:t xml:space="preserve">e intracellulära miljöer där </w:t>
      </w:r>
      <w:r>
        <w:t xml:space="preserve">det verkar </w:t>
      </w:r>
      <w:r w:rsidR="006322CA">
        <w:t>allt</w:t>
      </w:r>
      <w:r>
        <w:t>mer sannolikt att amyloi</w:t>
      </w:r>
      <w:r w:rsidRPr="00EF31D0">
        <w:t xml:space="preserve">d </w:t>
      </w:r>
      <w:r>
        <w:t xml:space="preserve">i huvudsak </w:t>
      </w:r>
      <w:r w:rsidRPr="00EF31D0">
        <w:t xml:space="preserve">bildas. Vi hoppas att under hösten kunna presentera en ny bild av TTR och dess roll i både diabetes typ II samt Alzheimer’s sjukdom där vi på samma gång även visar att dessa inhiberande egenskaper är kopplade till transthyretins egen förmåga att bilda amyloid. Vi kan redan </w:t>
      </w:r>
      <w:r>
        <w:t xml:space="preserve">idag peka på </w:t>
      </w:r>
      <w:r w:rsidRPr="00EF31D0">
        <w:t xml:space="preserve">terapeutiska möjligheter </w:t>
      </w:r>
      <w:r>
        <w:t xml:space="preserve">men även potentiella </w:t>
      </w:r>
      <w:r w:rsidRPr="00EF31D0">
        <w:t>risker</w:t>
      </w:r>
      <w:r>
        <w:t xml:space="preserve"> med att påverka TTR</w:t>
      </w:r>
      <w:r w:rsidRPr="00EF31D0">
        <w:t xml:space="preserve">. </w:t>
      </w:r>
    </w:p>
    <w:p w:rsidR="009003B2" w:rsidRDefault="006322CA" w:rsidP="00EF31D0">
      <w:pPr>
        <w:jc w:val="both"/>
      </w:pPr>
      <w:r>
        <w:t xml:space="preserve">De patologiska egenskaperna hos TTR </w:t>
      </w:r>
      <w:r w:rsidR="00EF31D0">
        <w:t>ger upphov till en rad olika symptom</w:t>
      </w:r>
      <w:r>
        <w:t xml:space="preserve"> och b</w:t>
      </w:r>
      <w:r w:rsidR="00EF31D0">
        <w:t xml:space="preserve">land </w:t>
      </w:r>
      <w:r>
        <w:t xml:space="preserve">dessa </w:t>
      </w:r>
      <w:r w:rsidR="00EF31D0">
        <w:t xml:space="preserve">finns </w:t>
      </w:r>
      <w:r>
        <w:t xml:space="preserve">även </w:t>
      </w:r>
      <w:r w:rsidR="00EF31D0">
        <w:t xml:space="preserve">grumlingar i ögats glaskropp. Ögat är i detta sammanhang ett isolerat system och har även sin egen produktion av TTR. Här arbetar vi på en möjlighet att permanent stänga ned </w:t>
      </w:r>
      <w:r w:rsidR="00EF31D0">
        <w:lastRenderedPageBreak/>
        <w:t xml:space="preserve">produktionen av TTR genom den </w:t>
      </w:r>
      <w:r w:rsidR="007657AC">
        <w:t>nya tekniken CRISPR/Cas9. Denna approach är permanent och behöver till skillnad från de RNA b</w:t>
      </w:r>
      <w:r w:rsidR="00EF31D0">
        <w:t xml:space="preserve">aserade metoderna inte upprepas. Vi hoppas </w:t>
      </w:r>
      <w:r>
        <w:t xml:space="preserve">även här att under våren presentera resultat på detta område vilket bör ge svar på ifall detta </w:t>
      </w:r>
      <w:r w:rsidR="00EF31D0">
        <w:t>är något som skulle kunna utvecklas till en permanent och profylaktisk behandling.</w:t>
      </w:r>
      <w:r w:rsidR="007657AC">
        <w:t xml:space="preserve"> </w:t>
      </w:r>
    </w:p>
    <w:p w:rsidR="00EF31D0" w:rsidRDefault="00EF31D0" w:rsidP="00EF31D0">
      <w:pPr>
        <w:jc w:val="both"/>
      </w:pPr>
      <w:r>
        <w:t>Vi vill i dessa sammanhang även passa på att tacka</w:t>
      </w:r>
      <w:r w:rsidR="00B3621B">
        <w:t xml:space="preserve"> FAMY,</w:t>
      </w:r>
      <w:r>
        <w:t xml:space="preserve"> </w:t>
      </w:r>
      <w:proofErr w:type="spellStart"/>
      <w:r>
        <w:t>FAMY-</w:t>
      </w:r>
      <w:proofErr w:type="gramStart"/>
      <w:r>
        <w:t>Norrbotten</w:t>
      </w:r>
      <w:proofErr w:type="spellEnd"/>
      <w:r>
        <w:t xml:space="preserve">  för</w:t>
      </w:r>
      <w:proofErr w:type="gramEnd"/>
      <w:r>
        <w:t xml:space="preserve"> dess stöd vilket är ett mycket välkommet bidrag till vårt arbete. </w:t>
      </w:r>
    </w:p>
    <w:p w:rsidR="00EF31D0" w:rsidRDefault="00EF31D0" w:rsidP="00EF31D0">
      <w:pPr>
        <w:jc w:val="both"/>
      </w:pPr>
    </w:p>
    <w:p w:rsidR="009003B2" w:rsidRDefault="00EF31D0" w:rsidP="007657AC">
      <w:pPr>
        <w:jc w:val="both"/>
      </w:pPr>
      <w:r>
        <w:t>Publikationer 2018-2020</w:t>
      </w:r>
    </w:p>
    <w:p w:rsidR="00EF31D0" w:rsidRDefault="00EF31D0" w:rsidP="00EF31D0">
      <w:pPr>
        <w:widowControl w:val="0"/>
        <w:shd w:val="clear" w:color="auto" w:fill="FFFFFF"/>
        <w:autoSpaceDN w:val="0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</w:p>
    <w:p w:rsidR="00EF31D0" w:rsidRPr="00EF31D0" w:rsidRDefault="00EF31D0" w:rsidP="00EF31D0">
      <w:pPr>
        <w:widowControl w:val="0"/>
        <w:shd w:val="clear" w:color="auto" w:fill="FFFFFF"/>
        <w:autoSpaceDN w:val="0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1.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Gharibyan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AL, Islam T,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Pettersson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N,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Golchin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SA, Lundgren J, Johansson G,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Genot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M, Schultz N,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Wennström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M, </w:t>
      </w:r>
      <w:proofErr w:type="spellStart"/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Olofsson</w:t>
      </w:r>
      <w:proofErr w:type="spellEnd"/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 xml:space="preserve"> A.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Apolipoprotein E Interferes with IAPP Aggregation and Protects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Pericytes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from IAPP-Induced Toxicity.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Biomolecules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. 2020 Jan 14</w:t>
      </w:r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;10</w:t>
      </w:r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(1).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: 10.3390/biom10010134. PubMed PMID: 31947546.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2. Islam T,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Gharibyan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AL, Lee CC,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Olofsson A.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Morphological analysis of Apolipoprotein E binding to Aβ Amyloid using a combination of Surface Plasmon Resonance,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Immunogold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Labeling and Scanning Electron Microscopy.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 xml:space="preserve">BMC </w:t>
      </w:r>
      <w:proofErr w:type="spellStart"/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Biotechnol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. 2019 Dec 11</w:t>
      </w:r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;19</w:t>
      </w:r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(1):97.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: 10.1186/s12896-019-0589-4. PubMed PMID: 31829176; PubMed Central PMCID: PMC6907347.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eastAsia="en-US"/>
        </w:rPr>
        <w:t xml:space="preserve">3. Islam T, Gharibyan AL, Golchin SA, Pettersson N, Brännström K, Hedberg I, Virta MM, Olofsson L,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eastAsia="en-US"/>
        </w:rPr>
        <w:t>Olofsson A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eastAsia="en-US"/>
        </w:rPr>
        <w:t xml:space="preserve">. 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Apolipoprotein E impairs amyloid-β fibril elongation and maturation.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FEBS J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. 2019 Sep 30</w:t>
      </w:r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;.</w:t>
      </w:r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: 10.1111/febs.15075. [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Epub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ahead of print] PubMed PMID: 31571352.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4. Singh P,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Adolfsson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DE,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Ådén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J, Cairns AG,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Bartens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C,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Brännström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K,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Olofsson A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, Almqvist F. Pyridine-Fused 2-Pyridones via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Povarov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and A3 Reactions: Rapid Generation of Highly Functionalized Tricyclic Heterocycles Capable of Amyloid Fibril Binding. </w:t>
      </w:r>
      <w:r w:rsidRPr="00EF31D0">
        <w:rPr>
          <w:rFonts w:asciiTheme="minorHAnsi" w:eastAsia="Calibri" w:hAnsiTheme="minorHAnsi" w:cstheme="minorHAnsi"/>
          <w:b/>
          <w:color w:val="000000"/>
          <w:kern w:val="3"/>
          <w:sz w:val="20"/>
          <w:szCs w:val="20"/>
          <w:lang w:val="en-US" w:eastAsia="en-US"/>
        </w:rPr>
        <w:t>J Org Chem</w:t>
      </w:r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. 2019 Apr 5</w:t>
      </w:r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;84</w:t>
      </w:r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(7):3887-3903.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: 10.1021/acs.joc.8b03015. </w:t>
      </w:r>
      <w:proofErr w:type="spellStart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>Epub</w:t>
      </w:r>
      <w:proofErr w:type="spellEnd"/>
      <w:r w:rsidRPr="00EF31D0"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  <w:t xml:space="preserve"> 2019 Mar 20. PubMed PMID: 30862161.</w:t>
      </w:r>
    </w:p>
    <w:p w:rsidR="00EF31D0" w:rsidRPr="00EF31D0" w:rsidRDefault="00EF31D0" w:rsidP="00EF31D0">
      <w:pPr>
        <w:widowControl w:val="0"/>
        <w:shd w:val="clear" w:color="auto" w:fill="FFFFFF"/>
        <w:autoSpaceDN w:val="0"/>
        <w:spacing w:after="100" w:afterAutospacing="1"/>
        <w:contextualSpacing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sz w:val="20"/>
          <w:szCs w:val="20"/>
          <w:lang w:val="en-US" w:eastAsia="en-US"/>
        </w:rPr>
      </w:pPr>
    </w:p>
    <w:p w:rsidR="007657AC" w:rsidRPr="00EF31D0" w:rsidRDefault="007657AC" w:rsidP="00EF31D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657AC" w:rsidRPr="00EF31D0" w:rsidRDefault="00EF31D0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7657AC" w:rsidRPr="00EF31D0">
        <w:rPr>
          <w:rFonts w:asciiTheme="minorHAnsi" w:hAnsiTheme="minorHAnsi" w:cstheme="minorHAnsi"/>
          <w:sz w:val="20"/>
          <w:szCs w:val="20"/>
          <w:lang w:val="en-US"/>
        </w:rPr>
        <w:t xml:space="preserve">. Interspecies Variation between Fish and Human Transthyretins in 2 Their Binding of Thyroid-Disrupting Chemicals. </w:t>
      </w:r>
      <w:r w:rsidR="007657AC" w:rsidRPr="00EF31D0">
        <w:rPr>
          <w:rFonts w:asciiTheme="minorHAnsi" w:hAnsiTheme="minorHAnsi" w:cstheme="minorHAnsi"/>
          <w:sz w:val="20"/>
          <w:szCs w:val="20"/>
        </w:rPr>
        <w:t xml:space="preserve">Jin Zhang, Christin Grundström, Kristoffer Brannström, Irina Iakovleva, Mikael Lindberg, </w:t>
      </w:r>
      <w:r w:rsidR="007657AC" w:rsidRPr="00EF31D0">
        <w:rPr>
          <w:rFonts w:asciiTheme="minorHAnsi" w:hAnsiTheme="minorHAnsi" w:cstheme="minorHAnsi"/>
          <w:b/>
          <w:sz w:val="20"/>
          <w:szCs w:val="20"/>
        </w:rPr>
        <w:t>Anders Olofsson</w:t>
      </w:r>
      <w:r w:rsidR="007657AC" w:rsidRPr="00EF31D0">
        <w:rPr>
          <w:rFonts w:asciiTheme="minorHAnsi" w:hAnsiTheme="minorHAnsi" w:cstheme="minorHAnsi"/>
          <w:sz w:val="20"/>
          <w:szCs w:val="20"/>
        </w:rPr>
        <w:t xml:space="preserve">, Patrik L. Andersson and A. Elisabeth Sauer-Eriksson 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 xml:space="preserve">Environ </w:t>
      </w:r>
      <w:proofErr w:type="spellStart"/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Sci</w:t>
      </w:r>
      <w:proofErr w:type="spellEnd"/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 xml:space="preserve"> Technol. 2018 Oct 2.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bCs/>
          <w:sz w:val="20"/>
          <w:szCs w:val="20"/>
          <w:lang w:val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bCs/>
          <w:sz w:val="20"/>
          <w:szCs w:val="20"/>
          <w:lang w:val="en-US"/>
        </w:rPr>
        <w:t>: 10.1021/acs.est.8b03581</w:t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>.</w:t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</w:pPr>
    </w:p>
    <w:p w:rsidR="007657AC" w:rsidRPr="00EF31D0" w:rsidRDefault="00EF31D0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6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 xml:space="preserve">. 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Transthyretin Interferes with A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>β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Amyloid Formation by Redirecting Oligomeric Nuclei into Non-Amyloid Aggregates. 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Nilsson L, Pamrén A, Islam T, Brännström K, Golchin SA, Pettersson N, Iakovleva I, Sandblad L, Gharibyan AL, 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Olofsson A. 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J Mol Biol. 2018 Jun 8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pii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: S0022-2836(18)30581-3.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: 10.1016/j.jmb.2018.06.005.</w:t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 xml:space="preserve">  </w:t>
      </w:r>
      <w:r w:rsidRPr="00EF31D0">
        <w:rPr>
          <w:rFonts w:asciiTheme="minorHAnsi" w:eastAsia="Calibri" w:hAnsiTheme="minorHAnsi" w:cstheme="minorHAnsi"/>
          <w:b/>
          <w:bCs/>
          <w:sz w:val="20"/>
          <w:szCs w:val="20"/>
          <w:lang w:val="en-US"/>
        </w:rPr>
        <w:tab/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</w:pPr>
    </w:p>
    <w:p w:rsidR="007657AC" w:rsidRPr="00EF31D0" w:rsidRDefault="00EF31D0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7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.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The Properties of Amyloid-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>β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Fibrils Are Determined by their Path of Formation.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Brännström K, Islam T, Gharibyan AL, Iakovleva I, Nilsson L, Lee CC, Sandblad L, Pamrén A, </w:t>
      </w:r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Olofsson A.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J Mol Biol. 2018 Jun 22</w:t>
      </w:r>
      <w:proofErr w:type="gramStart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;430</w:t>
      </w:r>
      <w:proofErr w:type="gramEnd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(13):1940-1949.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: 10.1016/j.jmb.2018.05.001. 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</w:p>
    <w:p w:rsidR="007657AC" w:rsidRPr="00EF31D0" w:rsidRDefault="00EF31D0" w:rsidP="00EF31D0">
      <w:pPr>
        <w:contextualSpacing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8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.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Scanning Electron Microscopy as a tool for evaluating morphology of amyloid structures formed on Surface Plasmon Resonance chips.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Kristoffer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Brännströma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Anna L.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Gharibyan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Tohidul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Islama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 Irina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Iakovleva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Lina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Nilsson, Cheng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Choo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Lee, Linda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Sandblad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Annelie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Pamren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and 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 xml:space="preserve">Anders Olofsson. 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Data in Brief, August 2018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, Pages 1166-1170. </w:t>
      </w:r>
      <w:r w:rsidRPr="00EF31D0">
        <w:rPr>
          <w:rStyle w:val="Hyperlnk"/>
          <w:rFonts w:asciiTheme="minorHAnsi" w:eastAsia="Calibri" w:hAnsiTheme="minorHAnsi" w:cstheme="minorHAnsi"/>
          <w:sz w:val="20"/>
          <w:szCs w:val="20"/>
          <w:lang w:val="en-US"/>
        </w:rPr>
        <w:t>https://doi.org/10.1016/j.dib.2018.05.129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ab/>
      </w:r>
    </w:p>
    <w:p w:rsidR="007657AC" w:rsidRPr="00EF31D0" w:rsidRDefault="00EF31D0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9</w:t>
      </w:r>
      <w:r w:rsidR="007657AC"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.</w:t>
      </w:r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Amyloid-beta 1-40 is associated with alterations in NG2+ </w:t>
      </w:r>
      <w:proofErr w:type="spellStart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pericyte</w:t>
      </w:r>
      <w:proofErr w:type="spellEnd"/>
      <w:r w:rsidR="007657AC"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population ex vivo and in vitro.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Schultz N, </w:t>
      </w:r>
      <w:proofErr w:type="spell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Brännström</w:t>
      </w:r>
      <w:proofErr w:type="spell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K, </w:t>
      </w:r>
      <w:proofErr w:type="spell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Byman</w:t>
      </w:r>
      <w:proofErr w:type="spell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E, </w:t>
      </w:r>
      <w:proofErr w:type="spell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Moussaud</w:t>
      </w:r>
      <w:proofErr w:type="spell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S, Nielsen HM; Netherlands Brain Bank, </w:t>
      </w:r>
      <w:proofErr w:type="spellStart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Olofsson</w:t>
      </w:r>
      <w:proofErr w:type="spellEnd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 xml:space="preserve"> A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Wennström</w:t>
      </w:r>
      <w:proofErr w:type="spell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 M</w:t>
      </w:r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. Aging Cell. 2018 Jun</w:t>
      </w:r>
      <w:proofErr w:type="gramStart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;17</w:t>
      </w:r>
      <w:proofErr w:type="gramEnd"/>
      <w:r w:rsidRPr="00EF31D0">
        <w:rPr>
          <w:rFonts w:asciiTheme="minorHAnsi" w:eastAsia="Calibri" w:hAnsiTheme="minorHAnsi" w:cstheme="minorHAnsi"/>
          <w:b/>
          <w:color w:val="000000"/>
          <w:sz w:val="20"/>
          <w:szCs w:val="20"/>
          <w:lang w:val="en-US"/>
        </w:rPr>
        <w:t>(3):e12728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>doi</w:t>
      </w:r>
      <w:proofErr w:type="spellEnd"/>
      <w:proofErr w:type="gramEnd"/>
      <w:r w:rsidRPr="00EF31D0">
        <w:rPr>
          <w:rFonts w:asciiTheme="minorHAnsi" w:eastAsia="Calibri" w:hAnsiTheme="minorHAnsi" w:cstheme="minorHAnsi"/>
          <w:color w:val="000000"/>
          <w:sz w:val="20"/>
          <w:szCs w:val="20"/>
          <w:lang w:val="en-US"/>
        </w:rPr>
        <w:t xml:space="preserve">: 10.1111/acel.12728. </w:t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>Epub 2018 Feb 17.</w:t>
      </w:r>
    </w:p>
    <w:p w:rsidR="007657AC" w:rsidRPr="00EF31D0" w:rsidRDefault="007657AC" w:rsidP="00EF31D0">
      <w:pPr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EF31D0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</w:p>
    <w:p w:rsidR="00135DE8" w:rsidRPr="00EF31D0" w:rsidRDefault="00135DE8" w:rsidP="00EF31D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35DE8" w:rsidRPr="00EF31D0" w:rsidSect="0023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657AC"/>
    <w:rsid w:val="000F7332"/>
    <w:rsid w:val="00135DE8"/>
    <w:rsid w:val="00237461"/>
    <w:rsid w:val="003A3347"/>
    <w:rsid w:val="006322CA"/>
    <w:rsid w:val="007657AC"/>
    <w:rsid w:val="007F7841"/>
    <w:rsid w:val="008635E3"/>
    <w:rsid w:val="009003B2"/>
    <w:rsid w:val="00B3621B"/>
    <w:rsid w:val="00C16F85"/>
    <w:rsid w:val="00C55C96"/>
    <w:rsid w:val="00E75B32"/>
    <w:rsid w:val="00E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657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Olofsson</dc:creator>
  <cp:lastModifiedBy>Standard</cp:lastModifiedBy>
  <cp:revision>2</cp:revision>
  <dcterms:created xsi:type="dcterms:W3CDTF">2020-10-06T06:00:00Z</dcterms:created>
  <dcterms:modified xsi:type="dcterms:W3CDTF">2020-10-06T06:00:00Z</dcterms:modified>
</cp:coreProperties>
</file>