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4F0" w:rsidRPr="007929B1" w:rsidRDefault="00B43E72">
      <w:pPr>
        <w:rPr>
          <w:rFonts w:ascii="Times New Roman" w:hAnsi="Times New Roman" w:cs="Times New Roman"/>
        </w:rPr>
      </w:pPr>
      <w:r w:rsidRPr="007929B1">
        <w:rPr>
          <w:rFonts w:ascii="Times New Roman" w:hAnsi="Times New Roman" w:cs="Times New Roman"/>
        </w:rPr>
        <w:t>Forskningsrapport 20</w:t>
      </w:r>
      <w:r w:rsidR="002A70ED">
        <w:rPr>
          <w:rFonts w:ascii="Times New Roman" w:hAnsi="Times New Roman" w:cs="Times New Roman"/>
        </w:rPr>
        <w:t>20</w:t>
      </w:r>
    </w:p>
    <w:p w:rsidR="006354F0" w:rsidRPr="00A0226A" w:rsidRDefault="006354F0">
      <w:pPr>
        <w:rPr>
          <w:rFonts w:ascii="Times New Roman" w:hAnsi="Times New Roman" w:cs="Times New Roman"/>
          <w:b/>
        </w:rPr>
      </w:pPr>
      <w:r w:rsidRPr="00A0226A">
        <w:rPr>
          <w:rFonts w:ascii="Times New Roman" w:hAnsi="Times New Roman" w:cs="Times New Roman"/>
          <w:b/>
        </w:rPr>
        <w:t>Intissar Anan</w:t>
      </w:r>
    </w:p>
    <w:p w:rsidR="006354F0" w:rsidRPr="007929B1" w:rsidRDefault="006354F0">
      <w:pPr>
        <w:rPr>
          <w:rFonts w:ascii="Times New Roman" w:hAnsi="Times New Roman" w:cs="Times New Roman"/>
        </w:rPr>
      </w:pPr>
    </w:p>
    <w:p w:rsidR="00FF541B" w:rsidRDefault="00FF541B" w:rsidP="00FF541B">
      <w:pPr>
        <w:rPr>
          <w:rFonts w:ascii="Times New Roman" w:hAnsi="Times New Roman" w:cs="Times New Roman"/>
        </w:rPr>
      </w:pPr>
      <w:r w:rsidRPr="007929B1">
        <w:rPr>
          <w:rFonts w:ascii="Times New Roman" w:hAnsi="Times New Roman" w:cs="Times New Roman"/>
        </w:rPr>
        <w:t>Under 20</w:t>
      </w:r>
      <w:r w:rsidR="002A70ED">
        <w:rPr>
          <w:rFonts w:ascii="Times New Roman" w:hAnsi="Times New Roman" w:cs="Times New Roman"/>
        </w:rPr>
        <w:t>20</w:t>
      </w:r>
      <w:r w:rsidRPr="007929B1">
        <w:rPr>
          <w:rFonts w:ascii="Times New Roman" w:hAnsi="Times New Roman" w:cs="Times New Roman"/>
        </w:rPr>
        <w:t xml:space="preserve"> har vi </w:t>
      </w:r>
      <w:r w:rsidR="002A70ED">
        <w:rPr>
          <w:rFonts w:ascii="Times New Roman" w:hAnsi="Times New Roman" w:cs="Times New Roman"/>
        </w:rPr>
        <w:t>haft flera projekt som jobbade med vilka är några avslutade och publicerade.</w:t>
      </w:r>
    </w:p>
    <w:p w:rsidR="002A70ED" w:rsidRDefault="002A70ED">
      <w:pPr>
        <w:rPr>
          <w:rFonts w:ascii="Times New Roman" w:hAnsi="Times New Roman" w:cs="Times New Roman"/>
        </w:rPr>
      </w:pPr>
    </w:p>
    <w:p w:rsidR="00FF541B" w:rsidRPr="0011296D" w:rsidRDefault="002A70ED">
      <w:pPr>
        <w:rPr>
          <w:rFonts w:ascii="Times New Roman" w:eastAsia="Times New Roman" w:hAnsi="Times New Roman" w:cs="Times New Roman"/>
          <w:lang w:eastAsia="sv-SE"/>
        </w:rPr>
      </w:pPr>
      <w:r w:rsidRPr="002A70ED">
        <w:rPr>
          <w:rFonts w:ascii="Times New Roman" w:hAnsi="Times New Roman" w:cs="Times New Roman"/>
        </w:rPr>
        <w:t xml:space="preserve">Vi </w:t>
      </w:r>
      <w:r>
        <w:rPr>
          <w:rFonts w:ascii="Times New Roman" w:hAnsi="Times New Roman" w:cs="Times New Roman"/>
        </w:rPr>
        <w:t xml:space="preserve">tillsammans med </w:t>
      </w:r>
      <w:r w:rsidRPr="0011296D">
        <w:rPr>
          <w:rFonts w:ascii="Times New Roman" w:hAnsi="Times New Roman" w:cs="Times New Roman"/>
        </w:rPr>
        <w:t xml:space="preserve">Professor </w:t>
      </w:r>
      <w:r w:rsidR="0011296D" w:rsidRPr="0011296D">
        <w:rPr>
          <w:rFonts w:ascii="Times New Roman" w:eastAsia="Times New Roman" w:hAnsi="Times New Roman" w:cs="Times New Roman"/>
          <w:color w:val="000000"/>
          <w:lang w:eastAsia="sv-SE"/>
        </w:rPr>
        <w:t>Planté-Bordeneuve</w:t>
      </w:r>
      <w:r w:rsidR="0011296D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2A70ED">
        <w:rPr>
          <w:rFonts w:ascii="Times New Roman" w:hAnsi="Times New Roman" w:cs="Times New Roman"/>
        </w:rPr>
        <w:t>analyserade 114 ATTRV30M svenska familjer, inklusive 12 homozygota individer. Bland 131 par-avkommapar fann vi</w:t>
      </w:r>
      <w:r w:rsidR="0011296D">
        <w:rPr>
          <w:rFonts w:ascii="Times New Roman" w:hAnsi="Times New Roman" w:cs="Times New Roman"/>
        </w:rPr>
        <w:t xml:space="preserve"> att insjuknande ålder är vid 45 årsålder. </w:t>
      </w:r>
      <w:r w:rsidRPr="002A70ED">
        <w:rPr>
          <w:rFonts w:ascii="Times New Roman" w:hAnsi="Times New Roman" w:cs="Times New Roman"/>
        </w:rPr>
        <w:t xml:space="preserve"> I heterozygot släkte</w:t>
      </w:r>
      <w:r w:rsidR="00B25205">
        <w:rPr>
          <w:rFonts w:ascii="Times New Roman" w:hAnsi="Times New Roman" w:cs="Times New Roman"/>
        </w:rPr>
        <w:t>n</w:t>
      </w:r>
      <w:r w:rsidRPr="002A70ED">
        <w:rPr>
          <w:rFonts w:ascii="Times New Roman" w:hAnsi="Times New Roman" w:cs="Times New Roman"/>
        </w:rPr>
        <w:t xml:space="preserve"> var penetrans låg, uppskattat under 10% vid 40 år och ökade till 71% vid 90 års ålder. Risken befanns vara högre hos manliga patienter vid maternell överföring</w:t>
      </w:r>
      <w:r w:rsidR="001D5A5E">
        <w:rPr>
          <w:rFonts w:ascii="Times New Roman" w:hAnsi="Times New Roman" w:cs="Times New Roman"/>
        </w:rPr>
        <w:t>, insjuknar tidigare än sin mor</w:t>
      </w:r>
      <w:r w:rsidR="00B25205">
        <w:rPr>
          <w:rFonts w:ascii="Times New Roman" w:hAnsi="Times New Roman" w:cs="Times New Roman"/>
        </w:rPr>
        <w:t xml:space="preserve">. </w:t>
      </w:r>
      <w:r w:rsidRPr="002A70ED">
        <w:rPr>
          <w:rFonts w:ascii="Times New Roman" w:hAnsi="Times New Roman" w:cs="Times New Roman"/>
        </w:rPr>
        <w:t>Vi observerade ingen skillnad i penetra</w:t>
      </w:r>
      <w:r w:rsidR="00945C93">
        <w:rPr>
          <w:rFonts w:ascii="Times New Roman" w:hAnsi="Times New Roman" w:cs="Times New Roman"/>
        </w:rPr>
        <w:t>ns</w:t>
      </w:r>
      <w:r w:rsidRPr="002A70ED">
        <w:rPr>
          <w:rFonts w:ascii="Times New Roman" w:hAnsi="Times New Roman" w:cs="Times New Roman"/>
        </w:rPr>
        <w:t xml:space="preserve"> beroende på geografiskt ursprung. Slutligen var sjukdomsrisken liknande hos heterozygota och homozygota ATTRV30M-amyloidosindivider.</w:t>
      </w:r>
    </w:p>
    <w:p w:rsidR="000813B8" w:rsidRDefault="000813B8">
      <w:pPr>
        <w:rPr>
          <w:rFonts w:ascii="Times New Roman" w:hAnsi="Times New Roman" w:cs="Times New Roman"/>
        </w:rPr>
      </w:pPr>
    </w:p>
    <w:p w:rsidR="00B25205" w:rsidRDefault="00B25205">
      <w:pPr>
        <w:rPr>
          <w:rFonts w:ascii="Times New Roman" w:hAnsi="Times New Roman" w:cs="Times New Roman"/>
        </w:rPr>
      </w:pPr>
    </w:p>
    <w:p w:rsidR="00B25205" w:rsidRDefault="00D36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Diagnostisk träffsäkerhet med bukfettbiopsi har undersökts och det visade att </w:t>
      </w:r>
      <w:r w:rsidR="00945C93">
        <w:rPr>
          <w:rFonts w:ascii="Times New Roman" w:hAnsi="Times New Roman" w:cs="Times New Roman"/>
        </w:rPr>
        <w:t xml:space="preserve">den har god träffsäkerhet och kan också ge information om vilket påverkat protein det är och vilken fibrilltyp det rör sig om. </w:t>
      </w:r>
    </w:p>
    <w:p w:rsidR="002A70ED" w:rsidRDefault="002A70ED">
      <w:pPr>
        <w:rPr>
          <w:rFonts w:ascii="Times New Roman" w:hAnsi="Times New Roman" w:cs="Times New Roman"/>
        </w:rPr>
      </w:pPr>
    </w:p>
    <w:p w:rsidR="001960B0" w:rsidRDefault="005E085C" w:rsidP="00455592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960B0">
        <w:rPr>
          <w:rFonts w:ascii="Times New Roman" w:hAnsi="Times New Roman" w:cs="Times New Roman"/>
        </w:rPr>
        <w:t xml:space="preserve">Vidare </w:t>
      </w:r>
      <w:r w:rsidR="00945C93">
        <w:rPr>
          <w:rFonts w:ascii="Times New Roman" w:hAnsi="Times New Roman" w:cs="Times New Roman"/>
        </w:rPr>
        <w:t xml:space="preserve">är </w:t>
      </w:r>
      <w:r w:rsidR="00DC2315" w:rsidRPr="001960B0">
        <w:rPr>
          <w:rFonts w:ascii="Times New Roman" w:hAnsi="Times New Roman" w:cs="Times New Roman"/>
        </w:rPr>
        <w:t>hjärtmarkör</w:t>
      </w:r>
      <w:r w:rsidR="004754CE">
        <w:rPr>
          <w:rFonts w:ascii="Times New Roman" w:hAnsi="Times New Roman" w:cs="Times New Roman"/>
        </w:rPr>
        <w:t>er</w:t>
      </w:r>
      <w:r w:rsidR="00DC2315" w:rsidRPr="001960B0">
        <w:rPr>
          <w:rFonts w:ascii="Times New Roman" w:hAnsi="Times New Roman" w:cs="Times New Roman"/>
        </w:rPr>
        <w:t xml:space="preserve">; </w:t>
      </w:r>
      <w:r w:rsidR="00DC2315" w:rsidRPr="001960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Soluble suppression of tumorigenicity 2 (</w:t>
      </w:r>
      <w:r w:rsidR="00DC2315" w:rsidRPr="001960B0">
        <w:rPr>
          <w:rFonts w:ascii="Times New Roman" w:eastAsia="Times New Roman" w:hAnsi="Times New Roman" w:cs="Times New Roman"/>
          <w:bCs/>
          <w:color w:val="000000" w:themeColor="text1"/>
        </w:rPr>
        <w:t>sST2</w:t>
      </w:r>
      <w:r w:rsidR="00DC2315" w:rsidRPr="001960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), </w:t>
      </w:r>
      <w:r w:rsidR="00DC2315" w:rsidRPr="001960B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NTpro-BNP och Troponin-T </w:t>
      </w:r>
      <w:r w:rsidR="00DC2315" w:rsidRPr="001960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hos patienter med ATTRV30M och icke V30M</w:t>
      </w:r>
      <w:r w:rsidR="00945C9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är nu klara och på väg att skickas för publikation. </w:t>
      </w:r>
      <w:r w:rsidR="00E472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</w:t>
      </w:r>
      <w:r w:rsidR="00DC2315" w:rsidRPr="001960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esultat</w:t>
      </w:r>
      <w:r w:rsidR="00E472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en</w:t>
      </w:r>
      <w:r w:rsidR="00DC2315" w:rsidRPr="001960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visar</w:t>
      </w:r>
      <w:r w:rsidR="00C4734E" w:rsidRPr="001960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att serum sST2</w:t>
      </w:r>
      <w:r w:rsidR="007D52E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(Fig1)</w:t>
      </w:r>
      <w:r w:rsidR="00241E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var högre hos ATTR patienter jämför med kontroller</w:t>
      </w:r>
      <w:r w:rsidR="0045559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Hos individer med kardiomyopati jämfört med de utan var både sST2 och NTpro-BNP var högre</w:t>
      </w:r>
      <w:r w:rsidR="00FE1AA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(Fig 29)</w:t>
      </w:r>
      <w:r w:rsidR="0045559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Patienter med neuropati vsiade significant lägre koncentrationer av sST2 oc hNT-Pro-BNP jämfört med de med kardiomyopati. </w:t>
      </w:r>
    </w:p>
    <w:p w:rsidR="00565D2A" w:rsidRDefault="00565D2A" w:rsidP="00455592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565D2A" w:rsidRDefault="00565D2A" w:rsidP="00455592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950A46" w:rsidRDefault="00950A46" w:rsidP="0045559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FE1AAF" w:rsidRDefault="00950A46" w:rsidP="00455592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mc:AlternateContent>
          <mc:Choice Requires="cx1">
            <w:drawing>
              <wp:inline distT="0" distB="0" distL="0" distR="0" wp14:anchorId="29C4C79D" wp14:editId="7D2AA9C6">
                <wp:extent cx="2199640" cy="2781300"/>
                <wp:effectExtent l="0" t="0" r="10160" b="0"/>
                <wp:docPr id="2" name="Diagram 2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29C4C79D" wp14:editId="7D2AA9C6">
                <wp:extent cx="2199640" cy="2781300"/>
                <wp:effectExtent l="0" t="0" r="10160" b="0"/>
                <wp:docPr id="2" name="Diagram 2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iagram 2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278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50A46" w:rsidRPr="001960B0" w:rsidRDefault="00FE1AAF" w:rsidP="00455592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  <w:lang w:eastAsia="sv-SE"/>
        </w:rPr>
        <w:lastRenderedPageBreak/>
        <mc:AlternateContent>
          <mc:Choice Requires="cx1">
            <w:drawing>
              <wp:inline distT="0" distB="0" distL="0" distR="0" wp14:anchorId="7F0E845D" wp14:editId="6AF8E40F">
                <wp:extent cx="4905375" cy="2743200"/>
                <wp:effectExtent l="0" t="0" r="9525" b="0"/>
                <wp:docPr id="7" name="Diagram 7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7F0E845D" wp14:editId="6AF8E40F">
                <wp:extent cx="4905375" cy="2743200"/>
                <wp:effectExtent l="0" t="0" r="9525" b="0"/>
                <wp:docPr id="7" name="Diagram 7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Diagram 7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5375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66A9" w:rsidRPr="007929B1" w:rsidRDefault="000266A9">
      <w:pPr>
        <w:rPr>
          <w:rFonts w:ascii="Times New Roman" w:hAnsi="Times New Roman" w:cs="Times New Roman"/>
        </w:rPr>
      </w:pPr>
    </w:p>
    <w:p w:rsidR="00E55ADD" w:rsidRDefault="00E55ADD">
      <w:pPr>
        <w:rPr>
          <w:rFonts w:ascii="Times New Roman" w:hAnsi="Times New Roman" w:cs="Times New Roman"/>
        </w:rPr>
      </w:pPr>
    </w:p>
    <w:p w:rsidR="002B01B5" w:rsidRDefault="002B01B5">
      <w:pPr>
        <w:rPr>
          <w:rFonts w:ascii="Times New Roman" w:hAnsi="Times New Roman" w:cs="Times New Roman"/>
        </w:rPr>
      </w:pPr>
    </w:p>
    <w:p w:rsidR="00E55ADD" w:rsidRDefault="00E55ADD">
      <w:pPr>
        <w:rPr>
          <w:rFonts w:ascii="Times New Roman" w:hAnsi="Times New Roman" w:cs="Times New Roman"/>
        </w:rPr>
      </w:pPr>
      <w:r w:rsidRPr="00E55A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B09FD" wp14:editId="625AD50C">
                <wp:simplePos x="0" y="0"/>
                <wp:positionH relativeFrom="column">
                  <wp:posOffset>4132580</wp:posOffset>
                </wp:positionH>
                <wp:positionV relativeFrom="paragraph">
                  <wp:posOffset>2527300</wp:posOffset>
                </wp:positionV>
                <wp:extent cx="250390" cy="276999"/>
                <wp:effectExtent l="0" t="0" r="0" b="0"/>
                <wp:wrapNone/>
                <wp:docPr id="29" name="textruta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9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5ADD" w:rsidRDefault="00E55ADD" w:rsidP="00E55ADD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B09FD" id="_x0000_t202" coordsize="21600,21600" o:spt="202" path="m,l,21600r21600,l21600,xe">
                <v:stroke joinstyle="miter"/>
                <v:path gradientshapeok="t" o:connecttype="rect"/>
              </v:shapetype>
              <v:shape id="textruta 21" o:spid="_x0000_s1026" type="#_x0000_t202" style="position:absolute;margin-left:325.4pt;margin-top:199pt;width:19.7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" filled="f" stroked="f">
                <v:textbox style="mso-fit-shape-to-text:t">
                  <w:txbxContent>
                    <w:p w:rsidR="00E55ADD" w:rsidRDefault="00E55ADD" w:rsidP="00E55ADD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E55A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26A75" wp14:editId="002AD3A3">
                <wp:simplePos x="0" y="0"/>
                <wp:positionH relativeFrom="column">
                  <wp:posOffset>1392978</wp:posOffset>
                </wp:positionH>
                <wp:positionV relativeFrom="paragraph">
                  <wp:posOffset>2614083</wp:posOffset>
                </wp:positionV>
                <wp:extent cx="250390" cy="276999"/>
                <wp:effectExtent l="0" t="0" r="0" b="0"/>
                <wp:wrapNone/>
                <wp:docPr id="22" name="textruta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82685F-1B95-0840-99FD-5539C971E1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9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5ADD" w:rsidRDefault="00E55ADD" w:rsidP="00E55ADD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26A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9.7pt;margin-top:205.85pt;width:19.7pt;height:21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" filled="f" stroked="f">
                <v:textbox style="mso-fit-shape-to-text:t">
                  <w:txbxContent>
                    <w:p w:rsidR="00E55ADD" w:rsidRDefault="00E55ADD" w:rsidP="00E55ADD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55A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2B26B" wp14:editId="13538406">
                <wp:simplePos x="0" y="0"/>
                <wp:positionH relativeFrom="column">
                  <wp:posOffset>6981825</wp:posOffset>
                </wp:positionH>
                <wp:positionV relativeFrom="paragraph">
                  <wp:posOffset>839893</wp:posOffset>
                </wp:positionV>
                <wp:extent cx="264816" cy="276999"/>
                <wp:effectExtent l="0" t="0" r="0" b="0"/>
                <wp:wrapNone/>
                <wp:docPr id="21" name="textrut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A9E75A-616C-E347-B721-A94335FD31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5ADD" w:rsidRDefault="00E55ADD" w:rsidP="00E55ADD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2B26B" id="textruta 20" o:spid="_x0000_s1028" type="#_x0000_t202" style="position:absolute;margin-left:549.75pt;margin-top:66.15pt;width:20.85pt;height:21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" filled="f" stroked="f">
                <v:textbox style="mso-fit-shape-to-text:t">
                  <w:txbxContent>
                    <w:p w:rsidR="00E55ADD" w:rsidRDefault="00E55ADD" w:rsidP="00E55ADD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55A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8905A" wp14:editId="4E76A279">
                <wp:simplePos x="0" y="0"/>
                <wp:positionH relativeFrom="column">
                  <wp:posOffset>7401772</wp:posOffset>
                </wp:positionH>
                <wp:positionV relativeFrom="paragraph">
                  <wp:posOffset>6583680</wp:posOffset>
                </wp:positionV>
                <wp:extent cx="264816" cy="276999"/>
                <wp:effectExtent l="0" t="0" r="0" b="0"/>
                <wp:wrapNone/>
                <wp:docPr id="23" name="textruta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2B024-1768-124A-9B96-947D9026E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5ADD" w:rsidRDefault="00E55ADD" w:rsidP="00E55ADD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8905A" id="textruta 22" o:spid="_x0000_s1032" type="#_x0000_t202" style="position:absolute;margin-left:582.8pt;margin-top:518.4pt;width:20.85pt;height:21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" filled="f" stroked="f">
                <v:textbox style="mso-fit-shape-to-text:t">
                  <w:txbxContent>
                    <w:p w:rsidR="00E55ADD" w:rsidRDefault="00E55ADD" w:rsidP="00E55ADD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B01B5">
        <w:rPr>
          <w:rFonts w:ascii="Times New Roman" w:hAnsi="Times New Roman" w:cs="Times New Roman"/>
        </w:rPr>
        <w:t xml:space="preserve">Metabolomics studien är nu avslutad och skickad för publikation. Resultaten visade på </w:t>
      </w:r>
      <w:r w:rsidR="00C05380">
        <w:rPr>
          <w:rFonts w:ascii="Times New Roman" w:hAnsi="Times New Roman" w:cs="Times New Roman"/>
        </w:rPr>
        <w:t xml:space="preserve">28 olika metaboliter som var förändrade hos patienter jämfört med kontroller (Fig 1). Det finns några intressanta metaboliter som kan användas </w:t>
      </w:r>
      <w:r w:rsidR="00892780">
        <w:rPr>
          <w:rFonts w:ascii="Times New Roman" w:hAnsi="Times New Roman" w:cs="Times New Roman"/>
        </w:rPr>
        <w:t>som diagnostik metod men större material behövs för validering.</w:t>
      </w:r>
    </w:p>
    <w:p w:rsidR="00CA5691" w:rsidRDefault="00CA5691">
      <w:pPr>
        <w:rPr>
          <w:rFonts w:ascii="Times New Roman" w:hAnsi="Times New Roman" w:cs="Times New Roman"/>
        </w:rPr>
      </w:pPr>
    </w:p>
    <w:p w:rsidR="00DC2315" w:rsidRDefault="00DC2315">
      <w:pPr>
        <w:rPr>
          <w:rFonts w:ascii="Times New Roman" w:hAnsi="Times New Roman" w:cs="Times New Roman"/>
        </w:rPr>
      </w:pPr>
    </w:p>
    <w:p w:rsidR="00C05380" w:rsidRDefault="00C0538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2024A73" wp14:editId="4CEEF4EB">
            <wp:extent cx="2703600" cy="2332800"/>
            <wp:effectExtent l="0" t="0" r="190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233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2EBF68" wp14:editId="5171D1A5">
            <wp:extent cx="2390400" cy="13608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13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380" w:rsidRDefault="00C05380">
      <w:pPr>
        <w:rPr>
          <w:rFonts w:ascii="Times New Roman" w:hAnsi="Times New Roman" w:cs="Times New Roman"/>
        </w:rPr>
      </w:pPr>
    </w:p>
    <w:p w:rsidR="00C05380" w:rsidRDefault="00C05380">
      <w:pPr>
        <w:rPr>
          <w:rFonts w:ascii="Times New Roman" w:hAnsi="Times New Roman" w:cs="Times New Roman"/>
        </w:rPr>
      </w:pPr>
    </w:p>
    <w:p w:rsidR="00C05380" w:rsidRDefault="00C05380">
      <w:pPr>
        <w:rPr>
          <w:rFonts w:ascii="Times New Roman" w:hAnsi="Times New Roman" w:cs="Times New Roman"/>
        </w:rPr>
      </w:pPr>
    </w:p>
    <w:p w:rsidR="00D64EED" w:rsidRDefault="00D64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fortsätter förberedelser inför GWAS studien</w:t>
      </w:r>
      <w:r w:rsidR="00892780">
        <w:rPr>
          <w:rFonts w:ascii="Times New Roman" w:hAnsi="Times New Roman" w:cs="Times New Roman"/>
        </w:rPr>
        <w:t xml:space="preserve"> där den kommer att ingå i ett större internationellt samarbete då det är bättre för att kunna få så stort material som möjligt</w:t>
      </w:r>
      <w:r>
        <w:rPr>
          <w:rFonts w:ascii="Times New Roman" w:hAnsi="Times New Roman" w:cs="Times New Roman"/>
        </w:rPr>
        <w:t xml:space="preserve">. </w:t>
      </w:r>
    </w:p>
    <w:p w:rsidR="00892780" w:rsidRDefault="00892780">
      <w:pPr>
        <w:rPr>
          <w:rFonts w:ascii="Times New Roman" w:hAnsi="Times New Roman" w:cs="Times New Roman"/>
        </w:rPr>
      </w:pPr>
    </w:p>
    <w:p w:rsidR="00CA5691" w:rsidRPr="007929B1" w:rsidRDefault="00CA5691">
      <w:pPr>
        <w:rPr>
          <w:rFonts w:ascii="Times New Roman" w:hAnsi="Times New Roman" w:cs="Times New Roman"/>
        </w:rPr>
      </w:pPr>
    </w:p>
    <w:p w:rsidR="00CA5691" w:rsidRPr="007929B1" w:rsidRDefault="007014B4">
      <w:pPr>
        <w:rPr>
          <w:rFonts w:ascii="Times New Roman" w:hAnsi="Times New Roman" w:cs="Times New Roman"/>
          <w:b/>
        </w:rPr>
      </w:pPr>
      <w:r w:rsidRPr="007929B1">
        <w:rPr>
          <w:rFonts w:ascii="Times New Roman" w:hAnsi="Times New Roman" w:cs="Times New Roman"/>
          <w:b/>
        </w:rPr>
        <w:t>Tack</w:t>
      </w:r>
    </w:p>
    <w:p w:rsidR="007014B4" w:rsidRPr="007929B1" w:rsidRDefault="007014B4">
      <w:pPr>
        <w:rPr>
          <w:rFonts w:ascii="Times New Roman" w:hAnsi="Times New Roman" w:cs="Times New Roman"/>
        </w:rPr>
      </w:pPr>
      <w:r w:rsidRPr="007929B1">
        <w:rPr>
          <w:rFonts w:ascii="Times New Roman" w:hAnsi="Times New Roman" w:cs="Times New Roman"/>
        </w:rPr>
        <w:t xml:space="preserve">Jag vill rikta stort tack till FAMY/AMYL för ekonomiskt stöd genom åren. </w:t>
      </w:r>
    </w:p>
    <w:sectPr w:rsidR="007014B4" w:rsidRPr="007929B1" w:rsidSect="008657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0"/>
    <w:rsid w:val="000266A9"/>
    <w:rsid w:val="000813B8"/>
    <w:rsid w:val="00085A8F"/>
    <w:rsid w:val="0011296D"/>
    <w:rsid w:val="001960B0"/>
    <w:rsid w:val="001D5A5E"/>
    <w:rsid w:val="001E52DE"/>
    <w:rsid w:val="00241E46"/>
    <w:rsid w:val="00245568"/>
    <w:rsid w:val="00267171"/>
    <w:rsid w:val="002A70ED"/>
    <w:rsid w:val="002B01B5"/>
    <w:rsid w:val="002C0722"/>
    <w:rsid w:val="002E31A1"/>
    <w:rsid w:val="002F5EB1"/>
    <w:rsid w:val="00372E6E"/>
    <w:rsid w:val="003E2707"/>
    <w:rsid w:val="00455592"/>
    <w:rsid w:val="004754CE"/>
    <w:rsid w:val="00532504"/>
    <w:rsid w:val="00565D2A"/>
    <w:rsid w:val="005E085C"/>
    <w:rsid w:val="00613030"/>
    <w:rsid w:val="006354F0"/>
    <w:rsid w:val="00650C90"/>
    <w:rsid w:val="0069654C"/>
    <w:rsid w:val="006B43BF"/>
    <w:rsid w:val="006B6187"/>
    <w:rsid w:val="006C2270"/>
    <w:rsid w:val="007014B4"/>
    <w:rsid w:val="00715410"/>
    <w:rsid w:val="00737E86"/>
    <w:rsid w:val="007929B1"/>
    <w:rsid w:val="007A6D13"/>
    <w:rsid w:val="007B6560"/>
    <w:rsid w:val="007B709C"/>
    <w:rsid w:val="007B70B8"/>
    <w:rsid w:val="007D3FD9"/>
    <w:rsid w:val="007D52EB"/>
    <w:rsid w:val="007E1FC4"/>
    <w:rsid w:val="008657C1"/>
    <w:rsid w:val="0089260D"/>
    <w:rsid w:val="00892780"/>
    <w:rsid w:val="008A2E13"/>
    <w:rsid w:val="00945C93"/>
    <w:rsid w:val="00950A46"/>
    <w:rsid w:val="00A0226A"/>
    <w:rsid w:val="00AE3ED7"/>
    <w:rsid w:val="00AF0362"/>
    <w:rsid w:val="00B07BD0"/>
    <w:rsid w:val="00B25205"/>
    <w:rsid w:val="00B43E72"/>
    <w:rsid w:val="00B602B8"/>
    <w:rsid w:val="00B60AE6"/>
    <w:rsid w:val="00BE65B1"/>
    <w:rsid w:val="00C05380"/>
    <w:rsid w:val="00C4734E"/>
    <w:rsid w:val="00C60D58"/>
    <w:rsid w:val="00C924D0"/>
    <w:rsid w:val="00CA5691"/>
    <w:rsid w:val="00CB4649"/>
    <w:rsid w:val="00D344D1"/>
    <w:rsid w:val="00D3637A"/>
    <w:rsid w:val="00D4345B"/>
    <w:rsid w:val="00D62EA6"/>
    <w:rsid w:val="00D64EED"/>
    <w:rsid w:val="00DC2315"/>
    <w:rsid w:val="00DF5658"/>
    <w:rsid w:val="00E018B7"/>
    <w:rsid w:val="00E3124D"/>
    <w:rsid w:val="00E472BF"/>
    <w:rsid w:val="00E55ADD"/>
    <w:rsid w:val="00E73646"/>
    <w:rsid w:val="00F638C4"/>
    <w:rsid w:val="00F91A26"/>
    <w:rsid w:val="00FE1AAF"/>
    <w:rsid w:val="00FE3B9E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9E6A5AD-2F82-4742-B068-221393FD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DC2315"/>
  </w:style>
  <w:style w:type="character" w:styleId="Betoning">
    <w:name w:val="Emphasis"/>
    <w:basedOn w:val="Standardstycketeckensnitt"/>
    <w:uiPriority w:val="20"/>
    <w:qFormat/>
    <w:rsid w:val="00DC2315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55AD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27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278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4/relationships/chartEx" Target="charts/chartEx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microsoft.com/office/2014/relationships/chartEx" Target="charts/chartEx1.xml"/><Relationship Id="rId9" Type="http://schemas.openxmlformats.org/officeDocument/2006/relationships/image" Target="media/image4.png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olma8101\Documents\FAP\Hj&#228;rt-mark&#246;rer\Hj&#228;rta%20SPSS\Boxplot%20test%20Excel_210217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olma8101\Documents\FAP\Hj&#228;rt-mark&#246;rer\Hj&#228;rta%20SPSS\Boxplot%20test%20Excel_210217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'Figur 1'!$H$3:$H$88</cx:f>
        <cx:lvl ptCount="86" formatCode="0,000">
          <cx:pt idx="0">9.3914000000000009</cx:pt>
          <cx:pt idx="1">9.9314</cx:pt>
          <cx:pt idx="2">11.061</cx:pt>
          <cx:pt idx="3">15.2372</cx:pt>
          <cx:pt idx="4">11.043799999999999</cx:pt>
          <cx:pt idx="5">10.3134</cx:pt>
          <cx:pt idx="6">14.225</cx:pt>
          <cx:pt idx="7">7.2949000000000002</cx:pt>
          <cx:pt idx="8">20.100000000000001</cx:pt>
          <cx:pt idx="9">20.100000000000001</cx:pt>
          <cx:pt idx="10">15.1974</cx:pt>
          <cx:pt idx="11">14.7928</cx:pt>
          <cx:pt idx="12">17.658999999999999</cx:pt>
          <cx:pt idx="13">16.160599999999999</cx:pt>
          <cx:pt idx="14">10.892899999999999</cx:pt>
          <cx:pt idx="15">20.100000000000001</cx:pt>
          <cx:pt idx="16">10.6035</cx:pt>
          <cx:pt idx="17">10.8439</cx:pt>
          <cx:pt idx="18">17.426500000000001</cx:pt>
          <cx:pt idx="19">18.099499999999999</cx:pt>
          <cx:pt idx="20">20.100000000000001</cx:pt>
          <cx:pt idx="21">7.5019</cx:pt>
          <cx:pt idx="22">14.952999999999999</cx:pt>
          <cx:pt idx="23">18.625800000000002</cx:pt>
          <cx:pt idx="24">15.154500000000001</cx:pt>
          <cx:pt idx="25">16.3687</cx:pt>
          <cx:pt idx="26">20.961400000000001</cx:pt>
          <cx:pt idx="27">6.7544000000000004</cx:pt>
          <cx:pt idx="28">18.820799999999998</cx:pt>
          <cx:pt idx="29">9.8204999999999991</cx:pt>
          <cx:pt idx="30">26.100000000000001</cx:pt>
          <cx:pt idx="31">14.3735</cx:pt>
          <cx:pt idx="32">15.467700000000001</cx:pt>
          <cx:pt idx="33">14.356400000000001</cx:pt>
          <cx:pt idx="34">10.9556</cx:pt>
          <cx:pt idx="35">9.5873000000000008</cx:pt>
          <cx:pt idx="36">11.941700000000001</cx:pt>
          <cx:pt idx="37">17.001799999999999</cx:pt>
          <cx:pt idx="38">24.223500000000001</cx:pt>
          <cx:pt idx="39">20.911100000000001</cx:pt>
          <cx:pt idx="40">26.100000000000001</cx:pt>
          <cx:pt idx="41">15.675000000000001</cx:pt>
          <cx:pt idx="42">15.757400000000001</cx:pt>
          <cx:pt idx="43">15.288</cx:pt>
          <cx:pt idx="44">16.343699999999998</cx:pt>
          <cx:pt idx="45">7.0110000000000001</cx:pt>
          <cx:pt idx="46">9.9419000000000004</cx:pt>
          <cx:pt idx="47">17.316500000000001</cx:pt>
          <cx:pt idx="48">17.9146</cx:pt>
          <cx:pt idx="49">12.206300000000001</cx:pt>
          <cx:pt idx="50">10.9779</cx:pt>
          <cx:pt idx="51">26.100000000000001</cx:pt>
          <cx:pt idx="52">26.100000000000001</cx:pt>
          <cx:pt idx="53">26.100000000000001</cx:pt>
          <cx:pt idx="54">9.0143000000000004</cx:pt>
          <cx:pt idx="55">17.7639</cx:pt>
          <cx:pt idx="56">12.004899999999999</cx:pt>
          <cx:pt idx="57">16.847300000000001</cx:pt>
          <cx:pt idx="58">26.100000000000001</cx:pt>
          <cx:pt idx="59">42.100000000000001</cx:pt>
          <cx:pt idx="60">8.7060999999999993</cx:pt>
          <cx:pt idx="61">13.357100000000001</cx:pt>
          <cx:pt idx="62">23.9024</cx:pt>
          <cx:pt idx="63">9.8482000000000003</cx:pt>
          <cx:pt idx="64">27.9556</cx:pt>
          <cx:pt idx="65">10.904400000000001</cx:pt>
          <cx:pt idx="66">16.1463</cx:pt>
          <cx:pt idx="67">11.563800000000001</cx:pt>
          <cx:pt idx="68">32.9129</cx:pt>
          <cx:pt idx="69">28.100899999999999</cx:pt>
          <cx:pt idx="70">35.636699999999998</cx:pt>
          <cx:pt idx="71">14.3605</cx:pt>
          <cx:pt idx="72">19.652999999999999</cx:pt>
          <cx:pt idx="73">12.5426</cx:pt>
          <cx:pt idx="74">8.9763000000000002</cx:pt>
          <cx:pt idx="75">7.8963000000000001</cx:pt>
          <cx:pt idx="76">19.747499999999999</cx:pt>
          <cx:pt idx="77">15.9087</cx:pt>
          <cx:pt idx="78">6.1641000000000004</cx:pt>
          <cx:pt idx="79">21.109000000000002</cx:pt>
          <cx:pt idx="80">17.559999999999999</cx:pt>
          <cx:pt idx="81">11.019</cx:pt>
          <cx:pt idx="82">8.6747999999999994</cx:pt>
          <cx:pt idx="83">12.292999999999999</cx:pt>
          <cx:pt idx="84">42.100000000000001</cx:pt>
          <cx:pt idx="85">19.010400000000001</cx:pt>
        </cx:lvl>
      </cx:numDim>
    </cx:data>
    <cx:data id="1">
      <cx:numDim type="val">
        <cx:f>'Figur 1'!$I$3:$I$27</cx:f>
        <cx:lvl ptCount="25" formatCode="0,000">
          <cx:pt idx="0">12.9603</cx:pt>
          <cx:pt idx="1">20.100000000000001</cx:pt>
          <cx:pt idx="2">15.045</cx:pt>
          <cx:pt idx="3">17.718699999999998</cx:pt>
          <cx:pt idx="4">26.100000000000001</cx:pt>
          <cx:pt idx="5">8.7617999999999991</cx:pt>
          <cx:pt idx="6">8.3157999999999994</cx:pt>
          <cx:pt idx="7">5.3258999999999999</cx:pt>
          <cx:pt idx="8">9.5227000000000004</cx:pt>
          <cx:pt idx="9">17.964700000000001</cx:pt>
          <cx:pt idx="10">7.9181999999999997</cx:pt>
          <cx:pt idx="11">7.4844999999999997</cx:pt>
          <cx:pt idx="12">7.5239000000000003</cx:pt>
          <cx:pt idx="13">26.100000000000001</cx:pt>
          <cx:pt idx="14">10.455299999999999</cx:pt>
          <cx:pt idx="15">15.562799999999999</cx:pt>
          <cx:pt idx="16">7.4286000000000003</cx:pt>
          <cx:pt idx="17">17.581499999999998</cx:pt>
          <cx:pt idx="18">11.8583</cx:pt>
          <cx:pt idx="19">9.8451000000000004</cx:pt>
          <cx:pt idx="20">18.468599999999999</cx:pt>
          <cx:pt idx="21">9.0714000000000006</cx:pt>
          <cx:pt idx="22">8.9039999999999999</cx:pt>
          <cx:pt idx="23">13.4034</cx:pt>
          <cx:pt idx="24">10.227399999999999</cx:pt>
        </cx:lvl>
      </cx:numDim>
    </cx:data>
  </cx:chartData>
  <cx:chart>
    <cx:title pos="t" align="ctr" overlay="0">
      <cx:tx>
        <cx:txData>
          <cx:v>Figure 1</cx:v>
        </cx:txData>
      </cx:tx>
      <cx:txPr>
        <a:bodyPr rot="0" spcFirstLastPara="1" vertOverflow="ellipsis" vert="horz" wrap="square" lIns="0" tIns="0" rIns="0" bIns="0" anchor="ctr" anchorCtr="1"/>
        <a:lstStyle/>
        <a:p>
          <a:pPr algn="ctr">
            <a:defRPr/>
          </a:pPr>
          <a:r>
            <a:rPr lang="sv-SE"/>
            <a:t>Figure 1</a:t>
          </a:r>
        </a:p>
      </cx:txPr>
    </cx:title>
    <cx:plotArea>
      <cx:plotAreaRegion>
        <cx:series layoutId="boxWhisker" uniqueId="{CFDDFFC5-FEED-48FD-A528-390DF09E6A80}" formatIdx="0">
          <cx:tx>
            <cx:txData>
              <cx:f>'Figur 1'!$H$2</cx:f>
              <cx:v>ATTR patients</cx:v>
            </cx:txData>
          </cx:tx>
          <cx:spPr>
            <a:ln>
              <a:solidFill>
                <a:schemeClr val="tx1"/>
              </a:solidFill>
            </a:ln>
          </cx:spPr>
          <cx:dataId val="0"/>
          <cx:layoutPr>
            <cx:visibility meanLine="1" meanMarker="1" nonoutliers="0" outliers="1"/>
            <cx:statistics quartileMethod="exclusive"/>
          </cx:layoutPr>
        </cx:series>
        <cx:series layoutId="boxWhisker" uniqueId="{A9B40646-A83C-4698-ADC2-14D9F34CD46A}" formatIdx="2">
          <cx:tx>
            <cx:txData>
              <cx:f>'Figur 1'!$I$2</cx:f>
              <cx:v>Controls</cx:v>
            </cx:txData>
          </cx:tx>
          <cx:spPr>
            <a:ln>
              <a:solidFill>
                <a:schemeClr val="tx1"/>
              </a:solidFill>
            </a:ln>
          </cx:spPr>
          <cx:dataId val="1"/>
          <cx:layoutPr>
            <cx:visibility meanLine="1" meanMarker="1" nonoutliers="0" outliers="1"/>
            <cx:statistics quartileMethod="exclusive"/>
          </cx:layoutPr>
        </cx:series>
      </cx:plotAreaRegion>
      <cx:axis id="0">
        <cx:catScaling gapWidth="1"/>
        <cx:tickLabels/>
      </cx:axis>
      <cx:axis id="1">
        <cx:valScaling/>
        <cx:majorGridlines/>
        <cx:tickLabels/>
        <cx:numFmt formatCode="# ##0,0" sourceLinked="0"/>
        <cx:spPr>
          <a:ln>
            <a:solidFill>
              <a:schemeClr val="tx1"/>
            </a:solidFill>
          </a:ln>
        </cx:spPr>
      </cx:axis>
    </cx:plotArea>
    <cx:legend pos="b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'Figur 4'!$I$3:$I$133</cx:f>
        <cx:lvl ptCount="131">
          <cx:pt idx="0">NTproBNP</cx:pt>
          <cx:pt idx="1">NTproBNP</cx:pt>
          <cx:pt idx="2">NTproBNP</cx:pt>
          <cx:pt idx="3">NTproBNP</cx:pt>
          <cx:pt idx="4">NTproBNP</cx:pt>
          <cx:pt idx="5">NTproBNP</cx:pt>
          <cx:pt idx="6">NTproBNP</cx:pt>
          <cx:pt idx="7">NTproBNP</cx:pt>
          <cx:pt idx="8">NTproBNP</cx:pt>
          <cx:pt idx="9">NTproBNP</cx:pt>
          <cx:pt idx="10">NTproBNP</cx:pt>
          <cx:pt idx="11">NTproBNP</cx:pt>
          <cx:pt idx="12">NTproBNP</cx:pt>
          <cx:pt idx="13">NTproBNP</cx:pt>
          <cx:pt idx="14">NTproBNP</cx:pt>
          <cx:pt idx="15">NTproBNP</cx:pt>
          <cx:pt idx="16">NTproBNP</cx:pt>
          <cx:pt idx="17">NTproBNP</cx:pt>
          <cx:pt idx="18">NTproBNP</cx:pt>
          <cx:pt idx="19">NTproBNP</cx:pt>
          <cx:pt idx="20">NTproBNP</cx:pt>
          <cx:pt idx="21">NTproBNP</cx:pt>
          <cx:pt idx="22">NTproBNP</cx:pt>
          <cx:pt idx="23">NTproBNP</cx:pt>
          <cx:pt idx="24">NTproBNP</cx:pt>
          <cx:pt idx="25">NTproBNP</cx:pt>
          <cx:pt idx="26">NTproBNP</cx:pt>
          <cx:pt idx="27">NTproBNP</cx:pt>
          <cx:pt idx="28">NTproBNP</cx:pt>
          <cx:pt idx="29">NTproBNP</cx:pt>
          <cx:pt idx="30">NTproBNP</cx:pt>
          <cx:pt idx="31">NTproBNP</cx:pt>
          <cx:pt idx="32">NTproBNP</cx:pt>
          <cx:pt idx="33">NTproBNP</cx:pt>
          <cx:pt idx="34">NTproBNP</cx:pt>
          <cx:pt idx="35">NTproBNP</cx:pt>
          <cx:pt idx="36">NTproBNP</cx:pt>
          <cx:pt idx="37">NTproBNP</cx:pt>
          <cx:pt idx="38">NTproBNP</cx:pt>
          <cx:pt idx="39">NTproBNP</cx:pt>
          <cx:pt idx="40">NTproBNP</cx:pt>
          <cx:pt idx="41">NTproBNP</cx:pt>
          <cx:pt idx="42">NTproBNP</cx:pt>
          <cx:pt idx="43">NTproBNP</cx:pt>
          <cx:pt idx="44">NTproBNP</cx:pt>
          <cx:pt idx="45">NTproBNP</cx:pt>
          <cx:pt idx="46">NTproBNP</cx:pt>
          <cx:pt idx="47">NTproBNP</cx:pt>
          <cx:pt idx="48">NTproBNP</cx:pt>
          <cx:pt idx="49">NTproBNP</cx:pt>
          <cx:pt idx="50">NTproBNP</cx:pt>
          <cx:pt idx="51">NTproBNP</cx:pt>
          <cx:pt idx="52">NTproBNP</cx:pt>
          <cx:pt idx="53">NTproBNP</cx:pt>
          <cx:pt idx="54">NTproBNP</cx:pt>
          <cx:pt idx="55">NTproBNP</cx:pt>
          <cx:pt idx="56">NTproBNP</cx:pt>
          <cx:pt idx="57">NTproBNP</cx:pt>
          <cx:pt idx="58">NTproBNP</cx:pt>
          <cx:pt idx="59">NTproBNP</cx:pt>
          <cx:pt idx="60">NTproBNP</cx:pt>
          <cx:pt idx="61">NTproBNP</cx:pt>
          <cx:pt idx="62">NTproBNP</cx:pt>
          <cx:pt idx="63">sST2</cx:pt>
          <cx:pt idx="64">sST2</cx:pt>
          <cx:pt idx="65">sST2</cx:pt>
          <cx:pt idx="66">sST2</cx:pt>
          <cx:pt idx="67">sST2</cx:pt>
          <cx:pt idx="68">sST2</cx:pt>
          <cx:pt idx="69">sST2</cx:pt>
          <cx:pt idx="70">sST2</cx:pt>
          <cx:pt idx="71">sST2</cx:pt>
          <cx:pt idx="72">sST2</cx:pt>
          <cx:pt idx="73">sST2</cx:pt>
          <cx:pt idx="74">sST2</cx:pt>
          <cx:pt idx="75">sST2</cx:pt>
          <cx:pt idx="76">sST2</cx:pt>
          <cx:pt idx="77">sST2</cx:pt>
          <cx:pt idx="78">sST2</cx:pt>
          <cx:pt idx="79">sST2</cx:pt>
          <cx:pt idx="80">sST2</cx:pt>
          <cx:pt idx="81">sST2</cx:pt>
          <cx:pt idx="82">sST2</cx:pt>
          <cx:pt idx="83">sST2</cx:pt>
          <cx:pt idx="84">sST2</cx:pt>
          <cx:pt idx="85">sST2</cx:pt>
          <cx:pt idx="86">sST2</cx:pt>
          <cx:pt idx="87">sST2</cx:pt>
          <cx:pt idx="88">sST2</cx:pt>
          <cx:pt idx="89">sST2</cx:pt>
          <cx:pt idx="90">sST2</cx:pt>
          <cx:pt idx="91">sST2</cx:pt>
          <cx:pt idx="92">sST2</cx:pt>
          <cx:pt idx="93">sST2</cx:pt>
          <cx:pt idx="94">sST2</cx:pt>
          <cx:pt idx="95">sST2</cx:pt>
          <cx:pt idx="96">sST2</cx:pt>
          <cx:pt idx="97">sST2</cx:pt>
          <cx:pt idx="98">sST2</cx:pt>
          <cx:pt idx="99">sST2</cx:pt>
          <cx:pt idx="100">sST2</cx:pt>
          <cx:pt idx="101">sST2</cx:pt>
          <cx:pt idx="102">sST2</cx:pt>
          <cx:pt idx="103">sST2</cx:pt>
          <cx:pt idx="104">sST2</cx:pt>
          <cx:pt idx="105">sST2</cx:pt>
          <cx:pt idx="106">sST2</cx:pt>
          <cx:pt idx="107">sST2</cx:pt>
          <cx:pt idx="108">sST2</cx:pt>
          <cx:pt idx="109">sST2</cx:pt>
          <cx:pt idx="110">sST2</cx:pt>
          <cx:pt idx="111">sST2</cx:pt>
          <cx:pt idx="112">sST2</cx:pt>
          <cx:pt idx="113">sST2</cx:pt>
          <cx:pt idx="114">sST2</cx:pt>
          <cx:pt idx="115">sST2</cx:pt>
          <cx:pt idx="116">sST2</cx:pt>
          <cx:pt idx="117">sST2</cx:pt>
          <cx:pt idx="118">sST2</cx:pt>
          <cx:pt idx="119">sST2</cx:pt>
          <cx:pt idx="120">sST2</cx:pt>
          <cx:pt idx="121">sST2</cx:pt>
          <cx:pt idx="122">sST2</cx:pt>
          <cx:pt idx="123">sST2</cx:pt>
          <cx:pt idx="124">sST2</cx:pt>
          <cx:pt idx="125">sST2</cx:pt>
          <cx:pt idx="126">sST2</cx:pt>
          <cx:pt idx="127">sST2</cx:pt>
          <cx:pt idx="128">sST2</cx:pt>
          <cx:pt idx="129">sST2</cx:pt>
          <cx:pt idx="130">sST2</cx:pt>
        </cx:lvl>
      </cx:strDim>
      <cx:numDim type="val">
        <cx:f>'Figur 4'!$J$3:$J$133</cx:f>
        <cx:lvl ptCount="131" formatCode="0,00000">
          <cx:pt idx="0">0.91180000000000005</cx:pt>
          <cx:pt idx="1">1.1451</cx:pt>
          <cx:pt idx="2">0.66659999999999997</cx:pt>
          <cx:pt idx="3">12.9193</cx:pt>
          <cx:pt idx="4">2.6171000000000002</cx:pt>
          <cx:pt idx="6">0.9456</cx:pt>
          <cx:pt idx="7">3.0476999999999999</cx:pt>
          <cx:pt idx="8">2.1442000000000001</cx:pt>
          <cx:pt idx="9">6.5423</cx:pt>
          <cx:pt idx="10">2.4283000000000001</cx:pt>
          <cx:pt idx="11">0.64980000000000004</cx:pt>
          <cx:pt idx="12">1.1054999999999999</cx:pt>
          <cx:pt idx="13">1.2835000000000001</cx:pt>
          <cx:pt idx="14">6.4957000000000003</cx:pt>
          <cx:pt idx="15">0.73699999999999999</cx:pt>
          <cx:pt idx="17">1.0566</cx:pt>
          <cx:pt idx="18">1.0566</cx:pt>
          <cx:pt idx="20">0.44340000000000002</cx:pt>
          <cx:pt idx="21">3.0750000000000002</cx:pt>
          <cx:pt idx="22">14.4984</cx:pt>
          <cx:pt idx="23">1.1910000000000001</cx:pt>
          <cx:pt idx="63">12.9603</cx:pt>
          <cx:pt idx="64">9.3914000000000009</cx:pt>
          <cx:pt idx="65">9.9314</cx:pt>
          <cx:pt idx="66">11.061</cx:pt>
          <cx:pt idx="67">10.3134</cx:pt>
          <cx:pt idx="68">17.658999999999999</cx:pt>
          <cx:pt idx="69">20.100000000000001</cx:pt>
          <cx:pt idx="70">7.5019</cx:pt>
          <cx:pt idx="71">9.8204999999999991</cx:pt>
          <cx:pt idx="72">17.001799999999999</cx:pt>
          <cx:pt idx="73">16.343699999999998</cx:pt>
          <cx:pt idx="74">7.0110000000000001</cx:pt>
          <cx:pt idx="75">17.316500000000001</cx:pt>
          <cx:pt idx="76">12.206300000000001</cx:pt>
          <cx:pt idx="77">9.8482000000000003</cx:pt>
          <cx:pt idx="78">11.563800000000001</cx:pt>
          <cx:pt idx="79">8.9763000000000002</cx:pt>
          <cx:pt idx="81">17.559999999999999</cx:pt>
          <cx:pt idx="82">11.019</cx:pt>
          <cx:pt idx="83">8.6747999999999994</cx:pt>
          <cx:pt idx="84">9.5227000000000004</cx:pt>
          <cx:pt idx="85">26.100000000000001</cx:pt>
          <cx:pt idx="86">7.4286000000000003</cx:pt>
          <cx:pt idx="87">17.581499999999998</cx:pt>
        </cx:lvl>
      </cx:numDim>
    </cx:data>
    <cx:data id="1">
      <cx:strDim type="cat">
        <cx:f>'Figur 4'!$I$3:$I$133</cx:f>
        <cx:lvl ptCount="131">
          <cx:pt idx="0">NTproBNP</cx:pt>
          <cx:pt idx="1">NTproBNP</cx:pt>
          <cx:pt idx="2">NTproBNP</cx:pt>
          <cx:pt idx="3">NTproBNP</cx:pt>
          <cx:pt idx="4">NTproBNP</cx:pt>
          <cx:pt idx="5">NTproBNP</cx:pt>
          <cx:pt idx="6">NTproBNP</cx:pt>
          <cx:pt idx="7">NTproBNP</cx:pt>
          <cx:pt idx="8">NTproBNP</cx:pt>
          <cx:pt idx="9">NTproBNP</cx:pt>
          <cx:pt idx="10">NTproBNP</cx:pt>
          <cx:pt idx="11">NTproBNP</cx:pt>
          <cx:pt idx="12">NTproBNP</cx:pt>
          <cx:pt idx="13">NTproBNP</cx:pt>
          <cx:pt idx="14">NTproBNP</cx:pt>
          <cx:pt idx="15">NTproBNP</cx:pt>
          <cx:pt idx="16">NTproBNP</cx:pt>
          <cx:pt idx="17">NTproBNP</cx:pt>
          <cx:pt idx="18">NTproBNP</cx:pt>
          <cx:pt idx="19">NTproBNP</cx:pt>
          <cx:pt idx="20">NTproBNP</cx:pt>
          <cx:pt idx="21">NTproBNP</cx:pt>
          <cx:pt idx="22">NTproBNP</cx:pt>
          <cx:pt idx="23">NTproBNP</cx:pt>
          <cx:pt idx="24">NTproBNP</cx:pt>
          <cx:pt idx="25">NTproBNP</cx:pt>
          <cx:pt idx="26">NTproBNP</cx:pt>
          <cx:pt idx="27">NTproBNP</cx:pt>
          <cx:pt idx="28">NTproBNP</cx:pt>
          <cx:pt idx="29">NTproBNP</cx:pt>
          <cx:pt idx="30">NTproBNP</cx:pt>
          <cx:pt idx="31">NTproBNP</cx:pt>
          <cx:pt idx="32">NTproBNP</cx:pt>
          <cx:pt idx="33">NTproBNP</cx:pt>
          <cx:pt idx="34">NTproBNP</cx:pt>
          <cx:pt idx="35">NTproBNP</cx:pt>
          <cx:pt idx="36">NTproBNP</cx:pt>
          <cx:pt idx="37">NTproBNP</cx:pt>
          <cx:pt idx="38">NTproBNP</cx:pt>
          <cx:pt idx="39">NTproBNP</cx:pt>
          <cx:pt idx="40">NTproBNP</cx:pt>
          <cx:pt idx="41">NTproBNP</cx:pt>
          <cx:pt idx="42">NTproBNP</cx:pt>
          <cx:pt idx="43">NTproBNP</cx:pt>
          <cx:pt idx="44">NTproBNP</cx:pt>
          <cx:pt idx="45">NTproBNP</cx:pt>
          <cx:pt idx="46">NTproBNP</cx:pt>
          <cx:pt idx="47">NTproBNP</cx:pt>
          <cx:pt idx="48">NTproBNP</cx:pt>
          <cx:pt idx="49">NTproBNP</cx:pt>
          <cx:pt idx="50">NTproBNP</cx:pt>
          <cx:pt idx="51">NTproBNP</cx:pt>
          <cx:pt idx="52">NTproBNP</cx:pt>
          <cx:pt idx="53">NTproBNP</cx:pt>
          <cx:pt idx="54">NTproBNP</cx:pt>
          <cx:pt idx="55">NTproBNP</cx:pt>
          <cx:pt idx="56">NTproBNP</cx:pt>
          <cx:pt idx="57">NTproBNP</cx:pt>
          <cx:pt idx="58">NTproBNP</cx:pt>
          <cx:pt idx="59">NTproBNP</cx:pt>
          <cx:pt idx="60">NTproBNP</cx:pt>
          <cx:pt idx="61">NTproBNP</cx:pt>
          <cx:pt idx="62">NTproBNP</cx:pt>
          <cx:pt idx="63">sST2</cx:pt>
          <cx:pt idx="64">sST2</cx:pt>
          <cx:pt idx="65">sST2</cx:pt>
          <cx:pt idx="66">sST2</cx:pt>
          <cx:pt idx="67">sST2</cx:pt>
          <cx:pt idx="68">sST2</cx:pt>
          <cx:pt idx="69">sST2</cx:pt>
          <cx:pt idx="70">sST2</cx:pt>
          <cx:pt idx="71">sST2</cx:pt>
          <cx:pt idx="72">sST2</cx:pt>
          <cx:pt idx="73">sST2</cx:pt>
          <cx:pt idx="74">sST2</cx:pt>
          <cx:pt idx="75">sST2</cx:pt>
          <cx:pt idx="76">sST2</cx:pt>
          <cx:pt idx="77">sST2</cx:pt>
          <cx:pt idx="78">sST2</cx:pt>
          <cx:pt idx="79">sST2</cx:pt>
          <cx:pt idx="80">sST2</cx:pt>
          <cx:pt idx="81">sST2</cx:pt>
          <cx:pt idx="82">sST2</cx:pt>
          <cx:pt idx="83">sST2</cx:pt>
          <cx:pt idx="84">sST2</cx:pt>
          <cx:pt idx="85">sST2</cx:pt>
          <cx:pt idx="86">sST2</cx:pt>
          <cx:pt idx="87">sST2</cx:pt>
          <cx:pt idx="88">sST2</cx:pt>
          <cx:pt idx="89">sST2</cx:pt>
          <cx:pt idx="90">sST2</cx:pt>
          <cx:pt idx="91">sST2</cx:pt>
          <cx:pt idx="92">sST2</cx:pt>
          <cx:pt idx="93">sST2</cx:pt>
          <cx:pt idx="94">sST2</cx:pt>
          <cx:pt idx="95">sST2</cx:pt>
          <cx:pt idx="96">sST2</cx:pt>
          <cx:pt idx="97">sST2</cx:pt>
          <cx:pt idx="98">sST2</cx:pt>
          <cx:pt idx="99">sST2</cx:pt>
          <cx:pt idx="100">sST2</cx:pt>
          <cx:pt idx="101">sST2</cx:pt>
          <cx:pt idx="102">sST2</cx:pt>
          <cx:pt idx="103">sST2</cx:pt>
          <cx:pt idx="104">sST2</cx:pt>
          <cx:pt idx="105">sST2</cx:pt>
          <cx:pt idx="106">sST2</cx:pt>
          <cx:pt idx="107">sST2</cx:pt>
          <cx:pt idx="108">sST2</cx:pt>
          <cx:pt idx="109">sST2</cx:pt>
          <cx:pt idx="110">sST2</cx:pt>
          <cx:pt idx="111">sST2</cx:pt>
          <cx:pt idx="112">sST2</cx:pt>
          <cx:pt idx="113">sST2</cx:pt>
          <cx:pt idx="114">sST2</cx:pt>
          <cx:pt idx="115">sST2</cx:pt>
          <cx:pt idx="116">sST2</cx:pt>
          <cx:pt idx="117">sST2</cx:pt>
          <cx:pt idx="118">sST2</cx:pt>
          <cx:pt idx="119">sST2</cx:pt>
          <cx:pt idx="120">sST2</cx:pt>
          <cx:pt idx="121">sST2</cx:pt>
          <cx:pt idx="122">sST2</cx:pt>
          <cx:pt idx="123">sST2</cx:pt>
          <cx:pt idx="124">sST2</cx:pt>
          <cx:pt idx="125">sST2</cx:pt>
          <cx:pt idx="126">sST2</cx:pt>
          <cx:pt idx="127">sST2</cx:pt>
          <cx:pt idx="128">sST2</cx:pt>
          <cx:pt idx="129">sST2</cx:pt>
          <cx:pt idx="130">sST2</cx:pt>
        </cx:lvl>
      </cx:strDim>
      <cx:numDim type="val">
        <cx:f>'Figur 4'!$K$3:$K$133</cx:f>
        <cx:lvl ptCount="131" formatCode="0,00000">
          <cx:pt idx="0">0.93959999999999999</cx:pt>
          <cx:pt idx="2">1.6488</cx:pt>
          <cx:pt idx="3">9.0561000000000007</cx:pt>
          <cx:pt idx="4">3.5714999999999999</cx:pt>
          <cx:pt idx="5">46.453800000000001</cx:pt>
          <cx:pt idx="6">12.7502</cx:pt>
          <cx:pt idx="7">1.1969000000000001</cx:pt>
          <cx:pt idx="8">7.7927</cx:pt>
          <cx:pt idx="10">2.9315000000000002</cx:pt>
          <cx:pt idx="11">8.4689999999999994</cx:pt>
          <cx:pt idx="12">2.2311000000000001</cx:pt>
          <cx:pt idx="13">4.2755999999999998</cx:pt>
          <cx:pt idx="14">4.1978999999999997</cx:pt>
          <cx:pt idx="15">7.742</cx:pt>
          <cx:pt idx="16">5.0392000000000001</cx:pt>
          <cx:pt idx="17">10.0908</cx:pt>
          <cx:pt idx="18">19.197800000000001</cx:pt>
          <cx:pt idx="19">27.046199999999999</cx:pt>
          <cx:pt idx="20">5.5933999999999999</cx:pt>
          <cx:pt idx="21">9.6659000000000006</cx:pt>
          <cx:pt idx="22">4.3762999999999996</cx:pt>
          <cx:pt idx="23">2.0979000000000001</cx:pt>
          <cx:pt idx="24">3.8748999999999998</cx:pt>
          <cx:pt idx="25">1.2704</cx:pt>
          <cx:pt idx="26">2.0977999999999999</cx:pt>
          <cx:pt idx="27">6.2232000000000003</cx:pt>
          <cx:pt idx="28">10.8796</cx:pt>
          <cx:pt idx="29">0.20000000000000001</cx:pt>
          <cx:pt idx="30">18.530200000000001</cx:pt>
          <cx:pt idx="31">3.1055000000000001</cx:pt>
          <cx:pt idx="32">3.6747000000000001</cx:pt>
          <cx:pt idx="33">11.3514</cx:pt>
          <cx:pt idx="34">22.353200000000001</cx:pt>
          <cx:pt idx="35">20.062100000000001</cx:pt>
          <cx:pt idx="36">8.7096</cx:pt>
          <cx:pt idx="37">0.20000000000000001</cx:pt>
          <cx:pt idx="38">0.53080000000000005</cx:pt>
          <cx:pt idx="39">25.865100000000002</cx:pt>
          <cx:pt idx="40">44.017000000000003</cx:pt>
          <cx:pt idx="41">3.5611999999999999</cx:pt>
          <cx:pt idx="42">0.53059999999999996</cx:pt>
          <cx:pt idx="43">0.74960000000000004</cx:pt>
          <cx:pt idx="44">19.2422</cx:pt>
          <cx:pt idx="45">1.7998000000000001</cx:pt>
          <cx:pt idx="46">1.2058</cx:pt>
          <cx:pt idx="47">1.1834</cx:pt>
          <cx:pt idx="48">1.0309999999999999</cx:pt>
          <cx:pt idx="49">7.8432000000000004</cx:pt>
          <cx:pt idx="50">0.86360000000000003</cx:pt>
          <cx:pt idx="51">9.9228000000000005</cx:pt>
          <cx:pt idx="52">0.67069999999999996</cx:pt>
          <cx:pt idx="53">26.6953</cx:pt>
          <cx:pt idx="54">1.1484000000000001</cx:pt>
          <cx:pt idx="55">0.65400000000000003</cx:pt>
          <cx:pt idx="56">1.0349999999999999</cx:pt>
          <cx:pt idx="57">16.8384</cx:pt>
          <cx:pt idx="58">1.1173</cx:pt>
          <cx:pt idx="59">1.3939999999999999</cx:pt>
          <cx:pt idx="60">3.1616</cx:pt>
          <cx:pt idx="61">4.2272999999999996</cx:pt>
          <cx:pt idx="62">4.2699999999999996</cx:pt>
          <cx:pt idx="63">15.2372</cx:pt>
          <cx:pt idx="64">11.043799999999999</cx:pt>
          <cx:pt idx="65">20.100000000000001</cx:pt>
          <cx:pt idx="66">14.225</cx:pt>
          <cx:pt idx="67">7.2949000000000002</cx:pt>
          <cx:pt idx="68">20.100000000000001</cx:pt>
          <cx:pt idx="69">20.100000000000001</cx:pt>
          <cx:pt idx="70">15.045</cx:pt>
          <cx:pt idx="71">15.1974</cx:pt>
          <cx:pt idx="73">14.7928</cx:pt>
          <cx:pt idx="74">16.160599999999999</cx:pt>
          <cx:pt idx="75">10.892899999999999</cx:pt>
          <cx:pt idx="76">20.100000000000001</cx:pt>
          <cx:pt idx="77">10.6035</cx:pt>
          <cx:pt idx="78">10.8439</cx:pt>
          <cx:pt idx="79">17.426500000000001</cx:pt>
          <cx:pt idx="80">18.099499999999999</cx:pt>
          <cx:pt idx="81">14.952999999999999</cx:pt>
          <cx:pt idx="82">18.625800000000002</cx:pt>
          <cx:pt idx="83">15.154500000000001</cx:pt>
          <cx:pt idx="84">16.3687</cx:pt>
          <cx:pt idx="85">20.961400000000001</cx:pt>
          <cx:pt idx="86">6.7544000000000004</cx:pt>
          <cx:pt idx="87">18.820799999999998</cx:pt>
          <cx:pt idx="88">26.100000000000001</cx:pt>
          <cx:pt idx="89">14.3735</cx:pt>
          <cx:pt idx="90">15.467700000000001</cx:pt>
          <cx:pt idx="91">14.356400000000001</cx:pt>
          <cx:pt idx="92">10.9556</cx:pt>
          <cx:pt idx="93">9.5873000000000008</cx:pt>
          <cx:pt idx="94">11.941700000000001</cx:pt>
          <cx:pt idx="95">24.223500000000001</cx:pt>
          <cx:pt idx="96">20.911100000000001</cx:pt>
          <cx:pt idx="97">26.100000000000001</cx:pt>
          <cx:pt idx="98">15.675000000000001</cx:pt>
          <cx:pt idx="99">15.757400000000001</cx:pt>
          <cx:pt idx="100">15.288</cx:pt>
          <cx:pt idx="101">9.9419000000000004</cx:pt>
          <cx:pt idx="102">17.9146</cx:pt>
          <cx:pt idx="103">10.9779</cx:pt>
          <cx:pt idx="104">26.100000000000001</cx:pt>
          <cx:pt idx="105">26.100000000000001</cx:pt>
          <cx:pt idx="106">9.0143000000000004</cx:pt>
          <cx:pt idx="107">17.7639</cx:pt>
          <cx:pt idx="108">12.004899999999999</cx:pt>
          <cx:pt idx="109">16.847300000000001</cx:pt>
          <cx:pt idx="110">26.100000000000001</cx:pt>
          <cx:pt idx="111">42.100000000000001</cx:pt>
          <cx:pt idx="112">8.7060999999999993</cx:pt>
          <cx:pt idx="113">13.357100000000001</cx:pt>
          <cx:pt idx="114">23.9024</cx:pt>
          <cx:pt idx="115">27.9556</cx:pt>
          <cx:pt idx="116">10.904400000000001</cx:pt>
          <cx:pt idx="117">16.1463</cx:pt>
          <cx:pt idx="118">32.9129</cx:pt>
          <cx:pt idx="119">28.100899999999999</cx:pt>
          <cx:pt idx="120">35.636699999999998</cx:pt>
          <cx:pt idx="121">14.3605</cx:pt>
          <cx:pt idx="122">19.652999999999999</cx:pt>
          <cx:pt idx="123">12.5426</cx:pt>
          <cx:pt idx="124">7.8963000000000001</cx:pt>
          <cx:pt idx="125">19.747499999999999</cx:pt>
          <cx:pt idx="126">15.9087</cx:pt>
          <cx:pt idx="127">6.1641000000000004</cx:pt>
          <cx:pt idx="128">21.109000000000002</cx:pt>
          <cx:pt idx="129">12.292999999999999</cx:pt>
          <cx:pt idx="130">42.100000000000001</cx:pt>
        </cx:lvl>
      </cx:numDim>
    </cx:data>
  </cx:chartData>
  <cx:chart>
    <cx:title pos="t" align="ctr" overlay="0">
      <cx:tx>
        <cx:txData>
          <cx:v>Figure 2</cx:v>
        </cx:txData>
      </cx:tx>
      <cx:txPr>
        <a:bodyPr rot="0" spcFirstLastPara="1" vertOverflow="ellipsis" vert="horz" wrap="square" lIns="0" tIns="0" rIns="0" bIns="0" anchor="ctr" anchorCtr="1"/>
        <a:lstStyle/>
        <a:p>
          <a:pPr algn="ctr">
            <a:defRPr/>
          </a:pPr>
          <a:r>
            <a:rPr lang="sv-SE"/>
            <a:t>Figure 2</a:t>
          </a:r>
        </a:p>
      </cx:txPr>
    </cx:title>
    <cx:plotArea>
      <cx:plotAreaRegion>
        <cx:series layoutId="boxWhisker" uniqueId="{820A54DE-FF95-4688-B31C-0F4D540B654E}">
          <cx:tx>
            <cx:txData>
              <cx:f>'Figur 4'!$J$2</cx:f>
              <cx:v>≤ 12 mm</cx:v>
            </cx:txData>
          </cx:tx>
          <cx:spPr>
            <a:ln>
              <a:solidFill>
                <a:schemeClr val="tx1"/>
              </a:solidFill>
            </a:ln>
          </cx:spPr>
          <cx:dataId val="0"/>
          <cx:layoutPr>
            <cx:visibility meanLine="0" meanMarker="1" nonoutliers="0" outliers="1"/>
            <cx:statistics quartileMethod="exclusive"/>
          </cx:layoutPr>
        </cx:series>
        <cx:series layoutId="boxWhisker" uniqueId="{593ADB93-87EF-43F1-8E47-86B501EF2983}">
          <cx:tx>
            <cx:txData>
              <cx:f>'Figur 4'!$K$2</cx:f>
              <cx:v>&gt; 12 mm</cx:v>
            </cx:txData>
          </cx:tx>
          <cx:spPr>
            <a:ln>
              <a:solidFill>
                <a:schemeClr val="tx1"/>
              </a:solidFill>
            </a:ln>
          </cx:spPr>
          <cx:dataId val="1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0.5"/>
        <cx:majorTickMarks type="out"/>
        <cx:tickLabels/>
        <cx:spPr>
          <a:ln>
            <a:solidFill>
              <a:schemeClr val="tx1"/>
            </a:solidFill>
          </a:ln>
        </cx:spPr>
      </cx:axis>
      <cx:axis id="1">
        <cx:valScaling/>
        <cx:title>
          <cx:tx>
            <cx:rich>
              <a:bodyPr spcFirstLastPara="1" vertOverflow="ellipsis" wrap="square" lIns="0" tIns="0" rIns="0" bIns="0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/>
                </a:pPr>
                <a:r>
                  <a:rPr lang="sv-SE" sz="900" b="0" i="0" u="none" strike="noStrike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effectLst/>
                    <a:latin typeface="Calibri" panose="020F0502020204030204"/>
                  </a:rPr>
                  <a:t>Conc. [ng/ml]</a:t>
                </a:r>
                <a:endParaRPr lang="sv-SE">
                  <a:effectLst/>
                </a:endParaRPr>
              </a:p>
            </cx:rich>
          </cx:tx>
        </cx:title>
        <cx:majorGridlines/>
        <cx:majorTickMarks type="out"/>
        <cx:tickLabels/>
        <cx:numFmt formatCode="# ##0,0" sourceLinked="0"/>
        <cx:spPr>
          <a:ln>
            <a:solidFill>
              <a:schemeClr val="tx1"/>
            </a:solidFill>
          </a:ln>
        </cx:spPr>
      </cx:axis>
    </cx:plotArea>
    <cx:legend pos="r" align="min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7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  <cs:bodyPr rot="-60000000" vert="horz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  <cs:bodyPr rot="-60000000" vert="horz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  <cs:bodyPr rot="0" vert="horz"/>
  </cs:title>
  <cs:trendline>
    <cs:lnRef idx="0"/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  <cs:bodyPr rot="-60000000" vert="horz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Karin Olofsson</cp:lastModifiedBy>
  <cp:revision>2</cp:revision>
  <dcterms:created xsi:type="dcterms:W3CDTF">2021-04-27T10:39:00Z</dcterms:created>
  <dcterms:modified xsi:type="dcterms:W3CDTF">2021-04-27T10:39:00Z</dcterms:modified>
</cp:coreProperties>
</file>